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0"/>
        <w:ind w:left="0" w:firstLine="708"/>
        <w:jc w:val="both"/>
        <w:spacing w:after="0" w:line="276" w:lineRule="auto"/>
        <w:rPr>
          <w:sz w:val="18"/>
          <w:szCs w:val="18"/>
          <w:highlight w:val="none"/>
        </w:rPr>
      </w:pPr>
      <w:r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        </w:t>
      </w:r>
      <w:r>
        <w:rPr>
          <w:sz w:val="18"/>
          <w:szCs w:val="18"/>
          <w:lang w:val="en-US"/>
        </w:rPr>
        <w:t xml:space="preserve">                                                                      </w:t>
      </w:r>
      <w:r>
        <w:rPr>
          <w:sz w:val="18"/>
          <w:szCs w:val="18"/>
        </w:rPr>
        <w:t xml:space="preserve"> </w:t>
      </w:r>
      <w:r>
        <w:t xml:space="preserve">ПОЯСНИТЕЛЬНАЯ ЗАПИСКА</w:t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pStyle w:val="960"/>
        <w:ind w:left="0" w:firstLine="708"/>
        <w:jc w:val="center"/>
        <w:spacing w:after="0" w:line="276" w:lineRule="auto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951"/>
        <w:jc w:val="both"/>
        <w:spacing w:line="276" w:lineRule="auto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проекту решения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бюджет Колыванского района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24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 xml:space="preserve">27</w:t>
      </w:r>
      <w:r>
        <w:rPr>
          <w:sz w:val="28"/>
          <w:szCs w:val="28"/>
        </w:rPr>
        <w:t xml:space="preserve">-20</w:t>
      </w:r>
      <w:r>
        <w:rPr>
          <w:sz w:val="28"/>
          <w:szCs w:val="28"/>
        </w:rPr>
        <w:t xml:space="preserve">28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  в  марте 2026 года.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pacing w:line="276" w:lineRule="auto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 решения  Совета депутатов Колыванского района Новосибирской области</w:t>
      </w:r>
      <w:r>
        <w:rPr>
          <w:sz w:val="28"/>
          <w:szCs w:val="28"/>
        </w:rPr>
        <w:t xml:space="preserve"> о внесении изменений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24</w:t>
      </w:r>
      <w:r>
        <w:rPr>
          <w:sz w:val="28"/>
          <w:szCs w:val="28"/>
        </w:rPr>
        <w:t xml:space="preserve"> декабря  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39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 xml:space="preserve">27</w:t>
      </w:r>
      <w:r>
        <w:rPr>
          <w:sz w:val="28"/>
          <w:szCs w:val="28"/>
        </w:rPr>
        <w:t xml:space="preserve">-20</w:t>
      </w:r>
      <w:r>
        <w:rPr>
          <w:sz w:val="28"/>
          <w:szCs w:val="28"/>
        </w:rPr>
        <w:t xml:space="preserve">28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вносится для рассмотрения </w:t>
      </w:r>
      <w:r>
        <w:rPr>
          <w:sz w:val="28"/>
          <w:szCs w:val="28"/>
        </w:rPr>
        <w:t xml:space="preserve"> и утверждения </w:t>
      </w:r>
      <w:r>
        <w:rPr>
          <w:sz w:val="28"/>
          <w:szCs w:val="28"/>
        </w:rPr>
        <w:t xml:space="preserve">в  Совет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в соответствии со статьей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42 </w:t>
      </w:r>
      <w:r>
        <w:rPr>
          <w:sz w:val="28"/>
          <w:szCs w:val="28"/>
        </w:rPr>
        <w:t xml:space="preserve"> Положения «О бюджетном процессе в муниципальном образовании Колыванск</w:t>
      </w:r>
      <w:r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Разработка данного </w:t>
      </w:r>
      <w:r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обусловлена</w:t>
      </w:r>
      <w:r>
        <w:rPr>
          <w:sz w:val="28"/>
          <w:szCs w:val="28"/>
        </w:rPr>
        <w:t xml:space="preserve"> необходимостью внесения изменений  в части приведения в соответствие ранее принятого решения 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  нормам бюджетного законодательства, а именно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внесение изменений в доходную,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расходной части  и источники финансирования дефицита бюджета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5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Внесение изменений  в доходную часть бюджета Колыванского района Новосибирской области обусловлена изменением  в част</w:t>
      </w:r>
      <w:r>
        <w:rPr>
          <w:sz w:val="28"/>
          <w:szCs w:val="28"/>
        </w:rPr>
        <w:t xml:space="preserve">и увеличения плановых утвержденных заданий по осу</w:t>
      </w:r>
      <w:r>
        <w:rPr>
          <w:sz w:val="28"/>
          <w:szCs w:val="28"/>
        </w:rPr>
        <w:t xml:space="preserve">ществлению предпринимательской деятельности казенными учреждениями  для МКУ «Центр развити</w:t>
      </w:r>
      <w:r>
        <w:rPr>
          <w:sz w:val="28"/>
          <w:szCs w:val="28"/>
        </w:rPr>
        <w:t xml:space="preserve">я культуры Колыванского района Новосибирской области»  на сумму 110 ,0 тысяч рублей по расчетам проката кинофильмов, а также за счет увеличения безвозмездных поступлений в виде субсидии из областного бюджета по подготовке градостроительной документации на сумму 264,8 тысяч рублей ( таблица № 1 к настоящей пояснительной записке).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Изменения в    расходной части</w:t>
      </w:r>
      <w:r>
        <w:rPr>
          <w:sz w:val="28"/>
          <w:szCs w:val="28"/>
        </w:rPr>
        <w:t xml:space="preserve"> бюджета Колыванского района  связаны с отражением изменений бюджетных ассигнов</w:t>
      </w:r>
      <w:r>
        <w:rPr>
          <w:sz w:val="28"/>
          <w:szCs w:val="28"/>
        </w:rPr>
        <w:t xml:space="preserve">аний  по увеличению плана по предпринимательской деятельности и  внутреннему пере</w:t>
      </w:r>
      <w:r>
        <w:rPr>
          <w:sz w:val="28"/>
          <w:szCs w:val="28"/>
        </w:rPr>
        <w:t xml:space="preserve">распределению бюджетных ассигнований на основании служебных записок руководителей структурных подразделение и руководителей муниципальных учреждений ( таблица № 2 к настоящей пояснительной записке)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Дополнительно, за счет дефицита бюджета , выделены  бюджетные</w:t>
      </w:r>
      <w:r>
        <w:rPr>
          <w:sz w:val="28"/>
          <w:szCs w:val="28"/>
          <w:highlight w:val="none"/>
        </w:rPr>
        <w:t xml:space="preserve"> ассигнования для МБОУ «ДЮСШ» в целях проведения экспертизы здания школы на сумму 96,8 тысяч рублей, для администрации Колыванского  района -100,0 тысяч рублей на командировочные расходы , на увеличение объема обслуживания внутреннего муниципального долга.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Изменения по источникам финансирования дефицита бюджета  в настоящем решении связано с  увеличением предельного объема внутреннего </w:t>
      </w:r>
      <w:r>
        <w:rPr>
          <w:sz w:val="28"/>
          <w:szCs w:val="28"/>
          <w:highlight w:val="none"/>
        </w:rPr>
        <w:t xml:space="preserve">муниципального долга до 50 000,0 тысяч рублей на 2026 год и пл</w:t>
      </w:r>
      <w:r>
        <w:rPr>
          <w:sz w:val="28"/>
          <w:szCs w:val="28"/>
          <w:highlight w:val="none"/>
        </w:rPr>
        <w:t xml:space="preserve">ановый период 2027 и 2028 годов, а также   увеличением предельного объема обслуживания  внутреннего муниципального долга   на 2026 год  в сумме 10819,6 тысяч рублей, на 2027 год  в сумме 12 149,1 тысяча рублей , на 2028 год в сумме 15113.4 тысячи рублей 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Данные изменения предлагаются с целью организации и проведения  закупочных процедур по отбору кредитн</w:t>
      </w:r>
      <w:r>
        <w:rPr>
          <w:sz w:val="28"/>
          <w:szCs w:val="28"/>
          <w:highlight w:val="none"/>
        </w:rPr>
        <w:t xml:space="preserve">ой организации для заключения муниципального контракта по получению кредитных ресурсов. Дополнительные кредитные ресурсы необходимы для обеспечения денежными средствами  утвержденные расходы в бюджете Колыванского района   в складывающейся ситуации снижен</w:t>
      </w:r>
      <w:r>
        <w:rPr>
          <w:sz w:val="28"/>
          <w:szCs w:val="28"/>
          <w:highlight w:val="none"/>
        </w:rPr>
        <w:t xml:space="preserve">ия поступлений </w:t>
      </w:r>
      <w:r>
        <w:rPr>
          <w:sz w:val="28"/>
          <w:szCs w:val="28"/>
          <w:highlight w:val="none"/>
        </w:rPr>
        <w:t xml:space="preserve">по доходам , а также в связи с тем, что происходит снижение ключевой ставки Центрального банка РФ и пользоваться средствами, имеющейся  у Администрации Колыванского района, кредитной линии  становится невыгодно (справочно: действующая кредитная линия под  </w:t>
      </w:r>
      <w:r>
        <w:rPr>
          <w:sz w:val="28"/>
          <w:szCs w:val="28"/>
          <w:highlight w:val="none"/>
        </w:rPr>
        <w:t xml:space="preserve">19,27 % годовых  ,</w:t>
      </w:r>
      <w:r>
        <w:rPr>
          <w:sz w:val="28"/>
          <w:szCs w:val="28"/>
          <w:highlight w:val="none"/>
        </w:rPr>
        <w:t xml:space="preserve">планируемая кредитная линия  под 17% годовых).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В связи с </w:t>
      </w:r>
      <w:r>
        <w:rPr>
          <w:sz w:val="28"/>
          <w:szCs w:val="28"/>
          <w:highlight w:val="none"/>
        </w:rPr>
        <w:t xml:space="preserve">внесением изменений в доходную часть бюджета Колыванского района Новосибирской области, руководствуясь требованием бюджетного законодательства, представляется оперативная информация по исполнению доходной части бюджета по состоянию на 01 марта 2026 года.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По состоянию на 1 марта 2026 года  собственные доходы бюджета Колыванского района  имеют следующие показатели: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Всего собственные доходы  план 454 050,0 тысяч рублей , факт 241275,76 тысяч рублей или 53% от  годового плана,  в том числе: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Налоговые доходы  всего: план 434 331,90 тысяч рублей факт 35718,99 или 8% от годового плана, в том числе: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НДФЛ план 324960,9 тысяч рублей , факт 34844,73 тысячи рублей  или 11 %;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Акцизы план 8163,0 тысяч рублей , факт 728,9 тыс. рублей или 9%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УСН план 62959,0 тысяч рублей, факт  -146,0 тысяч рублей или 0 % , снижение поступления;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ЕСХН план 120,0 тысяч рублей, факт 0 , или 0%, снижение поступления;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Патент план 8822,0 тысяч рублей , факт -1853,58 тысяч рублей  или -21% , снижение поступления;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Транспортный налог план 14693,0 тысяч рублей, факт 238,86 тысяч рублей или 2 %;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Неналоговые доходы всего : план 19718,10 тысяч рублей, факт 205556,77 тысяч рублей или 1043%, в том числе: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Использование муниципального имущества , план 12200,0 тысяч рублей, факт 762,07 тысяч рублей или 6%,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Платные услуги казенных учреждений , план 4335,0 тысяч рублей , факт 1086,0 тысяч рублей или 25 %.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Штрафы, санкции , план 1876,3 тысяч рублей , факт 202 116, 01 тысяч рублей 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Значительное перевыполнение по сравнению с утвержденным п</w:t>
      </w:r>
      <w:r>
        <w:rPr>
          <w:sz w:val="28"/>
          <w:szCs w:val="28"/>
          <w:highlight w:val="none"/>
        </w:rPr>
        <w:t xml:space="preserve">ланом на текущий год, произошло  за счет поступления платежей по возмещению нанесенного вреда окружающей среде по решению суда на сумму 202 млн. рублей. В связи с тем, что согласно Федерального закона об охране окружающей среды , данные платежи являются   </w:t>
      </w:r>
      <w:r>
        <w:rPr>
          <w:sz w:val="28"/>
          <w:szCs w:val="28"/>
          <w:highlight w:val="none"/>
        </w:rPr>
        <w:t xml:space="preserve">«целевыми» и могут быть использованы только на направления, указанные в перечне  к Федеральному закону об охране окружающей среды, утвержденном постановлением Правительства Российской Федерации . Таким о</w:t>
      </w:r>
      <w:r>
        <w:rPr>
          <w:sz w:val="28"/>
          <w:szCs w:val="28"/>
          <w:highlight w:val="none"/>
        </w:rPr>
        <w:t xml:space="preserve">бразом, руководствуясь требованием  федерального законодательства , поступившие средства в доходы местного бюджета  по платежам за возмещение нанесенного вреда окружающей среде по решению суда, не могут быть направлены на текущие расходы местного бюджета.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С</w:t>
      </w:r>
      <w:r>
        <w:rPr>
          <w:sz w:val="28"/>
          <w:szCs w:val="28"/>
          <w:highlight w:val="none"/>
        </w:rPr>
        <w:t xml:space="preserve">ледует отметить, что необходимый процент исполнения доходной части бюджета в разрезе видов поступлений не « целевого» характера  , который может обеспечить текущую потребность  в финансовых ресурсах  должен быть не менее 15% , по факту имеем снижение   пос</w:t>
      </w:r>
      <w:r>
        <w:rPr>
          <w:sz w:val="28"/>
          <w:szCs w:val="28"/>
          <w:highlight w:val="none"/>
        </w:rPr>
        <w:t xml:space="preserve">туплений </w:t>
      </w:r>
      <w:r>
        <w:rPr>
          <w:sz w:val="28"/>
          <w:szCs w:val="28"/>
          <w:highlight w:val="none"/>
        </w:rPr>
        <w:t xml:space="preserve">и средний показатель исполнения  8,5%. Поэтому необходимость в дополнительных финансовых ресурсах имеет место быть. Однако, увеличение плана по платным услугам на сумму 110,0 тысяч рублей и не окажет существенного влияния на показатели исполнения бюджета. 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 Таким образом, с учетом всех изменений общий объем доходов на 2026 год   составит 2 387 304,8</w:t>
      </w:r>
      <w:r>
        <w:rPr>
          <w:sz w:val="28"/>
          <w:szCs w:val="28"/>
          <w:highlight w:val="none"/>
        </w:rPr>
        <w:t xml:space="preserve"> тысяч рублей</w:t>
      </w:r>
      <w:r>
        <w:rPr>
          <w:sz w:val="28"/>
          <w:szCs w:val="28"/>
          <w:highlight w:val="none"/>
        </w:rPr>
        <w:t xml:space="preserve">, общий объем расходов на 2026 год составит </w:t>
      </w:r>
      <w:r>
        <w:rPr>
          <w:rFonts w:ascii="Nimbus Roman" w:hAnsi="Nimbus Roman" w:eastAsia="Nimbus Roman" w:cs="Nimbus Roman"/>
          <w:b w:val="0"/>
          <w:bCs w:val="0"/>
          <w:i w:val="0"/>
          <w:strike w:val="0"/>
          <w:color w:val="000000"/>
          <w:sz w:val="28"/>
          <w:szCs w:val="28"/>
          <w:u w:val="none"/>
        </w:rPr>
        <w:t xml:space="preserve">2 431 464,1</w:t>
      </w:r>
      <w:r>
        <w:rPr>
          <w:b w:val="0"/>
          <w:bCs w:val="0"/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тысяч</w:t>
      </w:r>
      <w:r>
        <w:rPr>
          <w:sz w:val="28"/>
          <w:szCs w:val="28"/>
          <w:highlight w:val="none"/>
        </w:rPr>
        <w:t xml:space="preserve"> рублей , общий объем дефицита бюджета на 2026 год составит 44159,3 </w:t>
      </w:r>
      <w:r>
        <w:rPr>
          <w:sz w:val="28"/>
          <w:szCs w:val="28"/>
          <w:highlight w:val="none"/>
        </w:rPr>
        <w:t xml:space="preserve">тысяч рублей и находится в предельных допустимых значениях, согласно требованиям бюдже</w:t>
      </w:r>
      <w:r>
        <w:rPr>
          <w:sz w:val="28"/>
          <w:szCs w:val="28"/>
          <w:highlight w:val="none"/>
        </w:rPr>
        <w:t xml:space="preserve">тного законодательства.   Показатели планового периода не изменятся.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Задолженность по коммерческим кредитам отсутствует.</w:t>
      </w:r>
      <w:r>
        <w:rPr>
          <w:sz w:val="28"/>
          <w:szCs w:val="28"/>
          <w:highlight w:val="none"/>
        </w:rPr>
        <w:t xml:space="preserve"> Более подробная информация представлена в приложенных таблицах к настоящей пояснительной записке.</w:t>
      </w:r>
      <w:r>
        <w:rPr>
          <w:sz w:val="28"/>
          <w:szCs w:val="28"/>
          <w:highlight w:val="none"/>
        </w:rPr>
        <w:t xml:space="preserve">  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firstLine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Изменения в доходную часть бюджета Колыванского района Новосибирской области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firstLine="0"/>
        <w:jc w:val="righ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Таблица № 1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firstLine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2408"/>
        <w:gridCol w:w="5387"/>
        <w:gridCol w:w="1984"/>
        <w:gridCol w:w="1984"/>
        <w:gridCol w:w="2835"/>
      </w:tblGrid>
      <w:tr>
        <w:tblPrEx/>
        <w:trPr>
          <w:trHeight w:val="45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Код вида дохода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Наименование групп, подгрупп,  статей доходов, подстатей, элементов, кодов подвидов  доходов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2026 год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2027 год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2028 год</w:t>
            </w:r>
            <w:r/>
          </w:p>
        </w:tc>
      </w:tr>
      <w:tr>
        <w:tblPrEx/>
        <w:trPr>
          <w:trHeight w:val="40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 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Налоговые доходы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434 331,90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392 307,00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420 010,00</w:t>
            </w:r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000 101 00000 00 0000 000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Налоги на прибыль, доходы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324 960,90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275 049,00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296 865,00</w:t>
            </w:r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000 101 02000 00 0000 110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 на доходы физических лиц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324 960,90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275 049,00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296 865,00</w:t>
            </w:r>
            <w:r/>
          </w:p>
        </w:tc>
      </w:tr>
      <w:tr>
        <w:tblPrEx/>
        <w:trPr>
          <w:trHeight w:val="391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000 101 02010 01 0000 110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 на доходы физических лиц с дохо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324 842,90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274 921,70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296 727,60</w:t>
            </w:r>
            <w:r/>
          </w:p>
        </w:tc>
      </w:tr>
      <w:tr>
        <w:tblPrEx/>
        <w:trPr>
          <w:trHeight w:val="226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000 101 02040 01 1000 110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<w:br/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118,00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127,30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137,40</w:t>
            </w:r>
            <w:r/>
          </w:p>
        </w:tc>
      </w:tr>
      <w:tr>
        <w:tblPrEx/>
        <w:trPr>
          <w:trHeight w:val="45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000 103 00000 00 0000 000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Налоги на товары (работы, услуги), реализуемые на территории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8 163,00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10 653,00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10 846,00</w:t>
            </w:r>
            <w:r/>
          </w:p>
        </w:tc>
      </w:tr>
      <w:tr>
        <w:tblPrEx/>
        <w:trPr>
          <w:trHeight w:val="52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000 103 02000 01 0000 110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Акцизы по подакцизным товарам (продукции), производимым на территории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8 163,00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10 653,00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10 846,00</w:t>
            </w:r>
            <w:r/>
          </w:p>
        </w:tc>
      </w:tr>
      <w:tr>
        <w:tblPrEx/>
        <w:trPr>
          <w:trHeight w:val="205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000 103 02231 01 0000 110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уплаты акцизов на дизельное топливо,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3 983,00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5 295,00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5 425,00</w:t>
            </w:r>
            <w:r/>
          </w:p>
        </w:tc>
      </w:tr>
      <w:tr>
        <w:tblPrEx/>
        <w:trPr>
          <w:trHeight w:val="220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000 103 02241 01 0000 110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33,00</w:t>
            </w:r>
            <w:r/>
          </w:p>
        </w:tc>
      </w:tr>
      <w:tr>
        <w:tblPrEx/>
        <w:trPr>
          <w:trHeight w:val="202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000 103 02251 01 0000 110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уплаты акцизов на автомобильный бензин,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4 629,00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5 936,00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5 969,00</w:t>
            </w:r>
            <w:r/>
          </w:p>
        </w:tc>
      </w:tr>
      <w:tr>
        <w:tblPrEx/>
        <w:trPr>
          <w:trHeight w:val="208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000 103 02261 01 0000 110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уплаты акцизов на прямогонный бензин,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-475,00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-611,00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-581,00</w:t>
            </w:r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Налоги на совокупный доход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71 901,00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77 170,00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82 728,00</w:t>
            </w:r>
            <w:r/>
          </w:p>
        </w:tc>
      </w:tr>
      <w:tr>
        <w:tblPrEx/>
        <w:trPr>
          <w:trHeight w:val="45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000 105 01000 00 0000 110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Налог, взимаемый в связи с применением упрощенной системы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62 959,00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67 870,00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73 028,00</w:t>
            </w:r>
            <w:r/>
          </w:p>
        </w:tc>
      </w:tr>
      <w:tr>
        <w:tblPrEx/>
        <w:trPr>
          <w:trHeight w:val="112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000 105 01011 01 1000 110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46 959,00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49 870,00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53 028,00</w:t>
            </w:r>
            <w:r/>
          </w:p>
        </w:tc>
      </w:tr>
      <w:tr>
        <w:tblPrEx/>
        <w:trPr>
          <w:trHeight w:val="154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000 105 01021 01 1000 110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Налог, взимаемый с налогоплательщиков, выбравших в качестве объе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16 000,00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18 000,00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20 000,00</w:t>
            </w:r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000 105 03000 00 0000 110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Единый сельскохозяйственный налог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130,00</w:t>
            </w:r>
            <w:r/>
          </w:p>
        </w:tc>
      </w:tr>
      <w:tr>
        <w:tblPrEx/>
        <w:trPr>
          <w:trHeight w:val="94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000 105 03010 01 1000 110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Единый сельскохозяйственный налог (сумма платежа (перерасчеты, недоимки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130,00</w:t>
            </w:r>
            <w:r/>
          </w:p>
        </w:tc>
      </w:tr>
      <w:tr>
        <w:tblPrEx/>
        <w:trPr>
          <w:trHeight w:val="45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000 105 04000 00 0000 110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 взимаемый с применением патентной системы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8 822,00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9 175,00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9 570,00</w:t>
            </w:r>
            <w:r/>
          </w:p>
        </w:tc>
      </w:tr>
      <w:tr>
        <w:tblPrEx/>
        <w:trPr>
          <w:trHeight w:val="118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000 105 04020 02 1000 110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8 822,00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9 175,00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9 570,00</w:t>
            </w:r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000 106 00000 00 0000 000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Налоги на имущество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14 697,00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14 825,00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14 961,00</w:t>
            </w:r>
            <w:r/>
          </w:p>
        </w:tc>
      </w:tr>
      <w:tr>
        <w:tblPrEx/>
        <w:trPr>
          <w:trHeight w:val="33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000 106 04000 02 0000 110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Транспортный налог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14 697,00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14 825,00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14 961,00</w:t>
            </w:r>
            <w:r/>
          </w:p>
        </w:tc>
      </w:tr>
      <w:tr>
        <w:tblPrEx/>
        <w:trPr>
          <w:trHeight w:val="91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000 106 04011 02 1000 110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Транспортный налог с организаций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2 112,00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2 240,00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2 376,00</w:t>
            </w:r>
            <w:r/>
          </w:p>
        </w:tc>
      </w:tr>
      <w:tr>
        <w:tblPrEx/>
        <w:trPr>
          <w:trHeight w:val="100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000 106 04012 02 1000 110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Транспортный налог с физических лиц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12 585,00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12 585,00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12 585,00</w:t>
            </w:r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000 108 00000 00 0000 000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Государственная пошлина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14 610,00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14 610,00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14 610,00</w:t>
            </w:r>
            <w:r/>
          </w:p>
        </w:tc>
      </w:tr>
      <w:tr>
        <w:tblPrEx/>
        <w:trPr>
          <w:trHeight w:val="7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000 108 03010 01 0000 110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14 610,00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14 610,00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14 610,00</w:t>
            </w:r>
            <w:r/>
          </w:p>
        </w:tc>
      </w:tr>
      <w:tr>
        <w:tblPrEx/>
        <w:trPr>
          <w:trHeight w:val="48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Неналоговые доходы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19718,1+110,0= 19828,1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19 682,20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19 602,20</w:t>
            </w:r>
            <w:r/>
          </w:p>
        </w:tc>
      </w:tr>
      <w:tr>
        <w:tblPrEx/>
        <w:trPr>
          <w:trHeight w:val="58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000 111 00000 00 0000 000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12 200,80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12 183,50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12 142,90</w:t>
            </w:r>
            <w:r/>
          </w:p>
        </w:tc>
      </w:tr>
      <w:tr>
        <w:tblPrEx/>
        <w:trPr>
          <w:trHeight w:val="159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000 111 05013 05 0000 120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Доходы, получаемые в виде арендной платы за земельные уча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9 912,60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9 892,90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9 842,70</w:t>
            </w:r>
            <w:r/>
          </w:p>
        </w:tc>
      </w:tr>
      <w:tr>
        <w:tblPrEx/>
        <w:trPr>
          <w:trHeight w:val="139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000 111 05013 13 0000 120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Доходы, полу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 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1 550,00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1 550,00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1 550,00</w:t>
            </w:r>
            <w:r/>
          </w:p>
        </w:tc>
      </w:tr>
      <w:tr>
        <w:tblPrEx/>
        <w:trPr>
          <w:trHeight w:val="136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000 111 05025 05 0000 120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336,40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336,40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336,40</w:t>
            </w:r>
            <w:r/>
          </w:p>
        </w:tc>
      </w:tr>
      <w:tr>
        <w:tblPrEx/>
        <w:trPr>
          <w:trHeight w:val="115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000 111 05035 05 0000 120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367,80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370,20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379,80</w:t>
            </w:r>
            <w:r/>
          </w:p>
        </w:tc>
      </w:tr>
      <w:tr>
        <w:tblPrEx/>
        <w:trPr>
          <w:trHeight w:val="186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000 111 09080 05 0000 120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Плата, поступившая в рамках договора за предоставление права на размещение и эксплуатацию нес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34,00</w:t>
            </w:r>
            <w:r/>
          </w:p>
        </w:tc>
      </w:tr>
      <w:tr>
        <w:tblPrEx/>
        <w:trPr>
          <w:trHeight w:val="45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оказания платных услуг и компенсации затрат государства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4335,0+110,0=  4445,0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4 335,00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4 335,00</w:t>
            </w:r>
            <w:r/>
          </w:p>
        </w:tc>
      </w:tr>
      <w:tr>
        <w:tblPrEx/>
        <w:trPr>
          <w:trHeight w:val="64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000 113 01995 05 0012 130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муниципальных районов (МКУ Колыванский краеведческий музей»)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846,00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846,00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846,00</w:t>
            </w:r>
            <w:r/>
          </w:p>
        </w:tc>
      </w:tr>
      <w:tr>
        <w:tblPrEx/>
        <w:trPr>
          <w:trHeight w:val="93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000 113 01995 05 0013 130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муниципальных районов (МКУ "Единая дежурная диспечерская служба»)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91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000 113 01995 05 0014 130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муниципальных районов (МКУ Центр развития культуры Колыванского района Новосибирской области»)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2000,0+110,0=   2110,0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2 000,00</w:t>
            </w:r>
            <w:r/>
          </w:p>
        </w:tc>
      </w:tr>
      <w:tr>
        <w:tblPrEx/>
        <w:trPr>
          <w:trHeight w:val="91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000 113 01995 05 0015 130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муниципальных районов (МКУ "Районный клуб развития физической культуры и спорта")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1 254,00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1 254,00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1 254,00</w:t>
            </w:r>
            <w:r/>
          </w:p>
        </w:tc>
      </w:tr>
      <w:tr>
        <w:tblPrEx/>
        <w:trPr>
          <w:trHeight w:val="70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000 113 02065 05 0000 130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145,00</w:t>
            </w:r>
            <w:r/>
          </w:p>
        </w:tc>
      </w:tr>
      <w:tr>
        <w:tblPrEx/>
        <w:trPr>
          <w:trHeight w:val="70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000 113 02995 05 0000 130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Прочие доходы от компенсации затрат бюджетов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90,00</w:t>
            </w:r>
            <w:r/>
          </w:p>
        </w:tc>
      </w:tr>
      <w:tr>
        <w:tblPrEx/>
        <w:trPr>
          <w:trHeight w:val="45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000 114 00000 00 0000 000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продажи материальных и нематериальных активов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1 300,00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1 300,00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1 300,00</w:t>
            </w:r>
            <w:r/>
          </w:p>
        </w:tc>
      </w:tr>
      <w:tr>
        <w:tblPrEx/>
        <w:trPr>
          <w:trHeight w:val="124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000 114 06013 05 0000 430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500,00</w:t>
            </w:r>
            <w:r/>
          </w:p>
        </w:tc>
      </w:tr>
      <w:tr>
        <w:tblPrEx/>
        <w:trPr>
          <w:trHeight w:val="93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000 114 06013 13 0000 430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800,00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800,00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800,00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000 116 00000 00 0000 000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Штрафы, санкции, возмещение ущерба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1 876,30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1 857,30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1 817,80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000 116 01053 01 0000 140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18,00</w:t>
            </w:r>
            <w:r/>
          </w:p>
        </w:tc>
      </w:tr>
      <w:tr>
        <w:tblPrEx/>
        <w:trPr>
          <w:trHeight w:val="178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000 116 01063 01 0000 140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131,40</w:t>
            </w:r>
            <w:r/>
          </w:p>
        </w:tc>
      </w:tr>
      <w:tr>
        <w:tblPrEx/>
        <w:trPr>
          <w:trHeight w:val="133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000 116 01073 01 0000 140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10,20</w:t>
            </w:r>
            <w:r/>
          </w:p>
        </w:tc>
      </w:tr>
      <w:tr>
        <w:tblPrEx/>
        <w:trPr>
          <w:trHeight w:val="193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000 116 01083 01 0000 140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Административные штрафы, установленные главой 8 Кодекса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54,90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61,10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45,20</w:t>
            </w:r>
            <w:r/>
          </w:p>
        </w:tc>
      </w:tr>
      <w:tr>
        <w:tblPrEx/>
        <w:trPr>
          <w:trHeight w:val="139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000 116 01113 01 0000 140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1,60</w:t>
            </w:r>
            <w:r/>
          </w:p>
        </w:tc>
      </w:tr>
      <w:tr>
        <w:tblPrEx/>
        <w:trPr>
          <w:trHeight w:val="139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000 116 01123 01 0000 140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7,40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9,50</w:t>
            </w:r>
            <w:r/>
          </w:p>
        </w:tc>
      </w:tr>
      <w:tr>
        <w:tblPrEx/>
        <w:trPr>
          <w:trHeight w:val="139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000 116 01133 01 0000 140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4,90</w:t>
            </w:r>
            <w:r/>
          </w:p>
        </w:tc>
      </w:tr>
      <w:tr>
        <w:tblPrEx/>
        <w:trPr>
          <w:trHeight w:val="184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000 116 01143 01 0000 140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Административные штрафы, установленные главой 14 Кодекса Российско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27,80</w:t>
            </w:r>
            <w:r/>
          </w:p>
        </w:tc>
      </w:tr>
      <w:tr>
        <w:tblPrEx/>
        <w:trPr>
          <w:trHeight w:val="172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000 116 01173 01 0000 140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Административные штрафы, ус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2,40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2,90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000 116 01193 01 0000 140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26,40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24,10</w:t>
            </w:r>
            <w:r/>
          </w:p>
        </w:tc>
      </w:tr>
      <w:tr>
        <w:tblPrEx/>
        <w:trPr>
          <w:trHeight w:val="162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000 116 01203 01 0000 140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Административные штрафы, установленные глав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354,00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336,10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352,10</w:t>
            </w:r>
            <w:r/>
          </w:p>
        </w:tc>
      </w:tr>
      <w:tr>
        <w:tblPrEx/>
        <w:trPr>
          <w:trHeight w:val="126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000 116 02010 02 0000 140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24,90</w:t>
            </w:r>
            <w:r/>
          </w:p>
        </w:tc>
      </w:tr>
      <w:tr>
        <w:tblPrEx/>
        <w:trPr>
          <w:trHeight w:val="139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000 116 07010 05 0000 140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168,70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134,60</w:t>
            </w:r>
            <w:r/>
          </w:p>
        </w:tc>
      </w:tr>
      <w:tr>
        <w:tblPrEx/>
        <w:trPr>
          <w:trHeight w:val="139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000 116 07090 05 0000 140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79,00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73,90</w:t>
            </w:r>
            <w:r/>
          </w:p>
        </w:tc>
      </w:tr>
      <w:tr>
        <w:tblPrEx/>
        <w:trPr>
          <w:trHeight w:val="301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000 116 11050 01 0000 140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Платежи по искам о возмещении вреда, причиненного окружающей среде, а также платежи, уплач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899,80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933,40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956,70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000 117 00000 00 0000 000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Прочие неналоговые доходы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6,50</w:t>
            </w:r>
            <w:r/>
          </w:p>
        </w:tc>
      </w:tr>
      <w:tr>
        <w:tblPrEx/>
        <w:trPr>
          <w:trHeight w:val="52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000 117 05050 05 0000 180</w:t>
            </w:r>
            <w:r/>
          </w:p>
        </w:tc>
        <w:tc>
          <w:tcPr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Прочие неналоговые доходы бюджетов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6,50</w:t>
            </w:r>
            <w:r/>
          </w:p>
        </w:tc>
      </w:tr>
      <w:tr>
        <w:tblPrEx/>
        <w:trPr>
          <w:trHeight w:val="57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Всего доходов налоговых и неналоговых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454050,0+110,0= 454160,0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411 989,20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439 612,20</w:t>
            </w:r>
            <w:r/>
          </w:p>
        </w:tc>
      </w:tr>
      <w:tr>
        <w:tblPrEx/>
        <w:trPr>
          <w:trHeight w:val="52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200 000 00000 00 0000 000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Безвозмездные поступления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1932880,0+264,8=   1 933 144,8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1 403 226,70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1 463 959,90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Дотация  бюджетам муниципальных районов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126 763,00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74 618,60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80 531,90</w:t>
            </w:r>
            <w:r/>
          </w:p>
        </w:tc>
      </w:tr>
      <w:tr>
        <w:tblPrEx/>
        <w:trPr>
          <w:trHeight w:val="67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000 202 15001 05 0000 150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Дотации бюджетам муниципальных районов на выравнивание бюджетной обеспеченности из бюджета субъекта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126 763,00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74 618,60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80 531,90</w:t>
            </w:r>
            <w:r/>
          </w:p>
        </w:tc>
      </w:tr>
      <w:tr>
        <w:tblPrEx/>
        <w:trPr>
          <w:trHeight w:val="82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000 202 20000 00 0000 150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727428,1+264,8=   727692,9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146 317,30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210 974,40</w:t>
            </w:r>
            <w:r/>
          </w:p>
        </w:tc>
      </w:tr>
      <w:tr>
        <w:tblPrEx/>
        <w:trPr>
          <w:trHeight w:val="124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000 202 20077 05 0000 150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40 357,70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19 655,10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82 307,70</w:t>
            </w:r>
            <w:r/>
          </w:p>
        </w:tc>
      </w:tr>
      <w:tr>
        <w:tblPrEx/>
        <w:trPr>
          <w:trHeight w:val="138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00020220077050000150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"Жилищно-коммунальное хозяйство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100 055,50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136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00020220077050000150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5 115,40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172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000 202 20216 05 0000 150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у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34 041,80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39 219,50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39 219,50</w:t>
            </w:r>
            <w:r/>
          </w:p>
        </w:tc>
      </w:tr>
      <w:tr>
        <w:tblPrEx/>
        <w:trPr>
          <w:trHeight w:val="163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000 202 25304 05 0000 150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организацию бесплатного горячего питани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18 542,80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19 283,80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20 054,60</w:t>
            </w:r>
            <w:r/>
          </w:p>
        </w:tc>
      </w:tr>
      <w:tr>
        <w:tblPrEx/>
        <w:trPr>
          <w:trHeight w:val="136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000 202 25467 05 0000 150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1 249,30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1 159,30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1 167,80</w:t>
            </w:r>
            <w:r/>
          </w:p>
        </w:tc>
      </w:tr>
      <w:tr>
        <w:tblPrEx/>
        <w:trPr>
          <w:trHeight w:val="117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000 202 25519 05 0000 150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государственную поддержку отрасли культуры государственной программы Новосибирской области "Культура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278,10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283,80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289,00</w:t>
            </w:r>
            <w:r/>
          </w:p>
        </w:tc>
      </w:tr>
      <w:tr>
        <w:tblPrEx/>
        <w:trPr>
          <w:trHeight w:val="144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000 202 25527 05 0000 150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129,70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129,70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129,70</w:t>
            </w:r>
            <w:r/>
          </w:p>
        </w:tc>
      </w:tr>
      <w:tr>
        <w:tblPrEx/>
        <w:trPr>
          <w:trHeight w:val="100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000 202 25590 05 0000 150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техническое оснащение региональных и муниципальных музеев государственной программы Новосибирской области "Культура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2 064,00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115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000 202 25750 05 0000 150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модернизации школьных систем образования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47 804,70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177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00020229999050000150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ресурсному обеспечению модернизации образования Но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72 156,40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08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отдыху и оздоровлению детей, находящихся в трудной жизненной ситуации, направляемых администрациями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собственности, государственной программы Новосибирской области "Социальная поддержка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4 402,30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4 402,30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4 402,30</w:t>
            </w:r>
            <w:r/>
          </w:p>
        </w:tc>
      </w:tr>
      <w:tr>
        <w:tblPrEx/>
        <w:trPr>
          <w:trHeight w:val="138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софинансирован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"Развитие институтов региональной политики и гражданского общества в Новосибирской области»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619,80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619,80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619,80</w:t>
            </w:r>
            <w:r/>
          </w:p>
        </w:tc>
      </w:tr>
      <w:tr>
        <w:tblPrEx/>
        <w:trPr>
          <w:trHeight w:val="166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осуществление полномочий по организации регулярных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14 086,20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8 315,30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8 315,30</w:t>
            </w:r>
            <w:r/>
          </w:p>
        </w:tc>
      </w:tr>
      <w:tr>
        <w:tblPrEx/>
        <w:trPr>
          <w:trHeight w:val="117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"Жилищно-коммунальное хозяйство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32 329,20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45 007,70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45 007,70</w:t>
            </w:r>
            <w:r/>
          </w:p>
        </w:tc>
      </w:tr>
      <w:tr>
        <w:tblPrEx/>
        <w:trPr>
          <w:trHeight w:val="115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00020229999050000150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организацию бесперебойной работы объектов тепло-, водоснабжения и водоотведения государственной программы Новосибирской области "Жилищно-коммунальное хозяйство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7 710,20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7 710,20</w:t>
            </w:r>
            <w:r/>
          </w:p>
        </w:tc>
      </w:tr>
      <w:tr>
        <w:tblPrEx/>
        <w:trPr>
          <w:trHeight w:val="123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подготовке  градостроительной документации и (или) внесению изменений в нее государственной программы Новосибирской области "Стимулирование развития жилищного строительства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0,0+264,8= 264,8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1 220,00</w:t>
            </w:r>
            <w:r/>
          </w:p>
        </w:tc>
      </w:tr>
      <w:tr>
        <w:tblPrEx/>
        <w:trPr>
          <w:trHeight w:val="96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353 664,30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135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обустройс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тво (создание) контейнерных площадок,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530,80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530,80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530,80</w:t>
            </w:r>
            <w:r/>
          </w:p>
        </w:tc>
      </w:tr>
      <w:tr>
        <w:tblPrEx/>
        <w:trPr>
          <w:trHeight w:val="85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000 202 30000 00 0000 150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Субвенции бюджетам субъектов Российской Федерации и муниципальных образований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1 003 721,80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1 123 688,20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1 111 830,20</w:t>
            </w:r>
            <w:r/>
          </w:p>
        </w:tc>
      </w:tr>
      <w:tr>
        <w:tblPrEx/>
        <w:trPr>
          <w:trHeight w:val="70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реализацию общеобразовательных программ в муниципальных общеобразовательных организациях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356 782,50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396 151,90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428 662,70</w:t>
            </w:r>
            <w:r/>
          </w:p>
        </w:tc>
      </w:tr>
      <w:tr>
        <w:tblPrEx/>
        <w:trPr>
          <w:trHeight w:val="153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в сфере социальной поддержки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19 337,20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20 724,00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20 724,00</w:t>
            </w:r>
            <w:r/>
          </w:p>
        </w:tc>
      </w:tr>
      <w:tr>
        <w:tblPrEx/>
        <w:trPr>
          <w:trHeight w:val="144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созданию и осуществлению деятельности комиссий по делам несовершеннолетних и защите их прав на территории муниципальных образований Новосибирской области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2 265,70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2 565,80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2 765,90</w:t>
            </w:r>
            <w:r/>
          </w:p>
        </w:tc>
      </w:tr>
      <w:tr>
        <w:tblPrEx/>
        <w:trPr>
          <w:trHeight w:val="117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51 797,30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56 149,10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58 815,40</w:t>
            </w:r>
            <w:r/>
          </w:p>
        </w:tc>
      </w:tr>
      <w:tr>
        <w:tblPrEx/>
        <w:trPr>
          <w:trHeight w:val="96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58 929,70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66 669,20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72 457,40</w:t>
            </w:r>
            <w:r/>
          </w:p>
        </w:tc>
      </w:tr>
      <w:tr>
        <w:tblPrEx/>
        <w:trPr>
          <w:trHeight w:val="138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134,50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143,50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153,50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9,60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10,40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11,20</w:t>
            </w:r>
            <w:r/>
          </w:p>
        </w:tc>
      </w:tr>
      <w:tr>
        <w:tblPrEx/>
        <w:trPr>
          <w:trHeight w:val="88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расчету и предоставлению дотаций бюджетам поселений на выравнивание бюджетной обеспеченности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129 663,30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88 425,50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94 975,10</w:t>
            </w:r>
            <w:r/>
          </w:p>
        </w:tc>
      </w:tr>
      <w:tr>
        <w:tblPrEx/>
        <w:trPr>
          <w:trHeight w:val="318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организации получения образования обучающими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программам, для глухих, слабослышащих, позднооглохших, слепых, слабовидящих,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 тяжелыми нарушениями речи, с нарушениями опорно-двигательного аппарата, с задержкой психического развития, с умственной осталостью, с расстройствами аутистического спектра, со сложными дефектами и других обучающихся с ограниченными возможностями здоровья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144 288,50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158 044,20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163 707,50</w:t>
            </w:r>
            <w:r/>
          </w:p>
        </w:tc>
      </w:tr>
      <w:tr>
        <w:tblPrEx/>
        <w:trPr>
          <w:trHeight w:val="97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реализацию основных общеобразовательных программ дошкольного образования в муниципальных образовательных организациях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130 511,70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146 889,60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158 296,60</w:t>
            </w:r>
            <w:r/>
          </w:p>
        </w:tc>
      </w:tr>
      <w:tr>
        <w:tblPrEx/>
        <w:trPr>
          <w:trHeight w:val="138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 осуществление отдельных государственных полномочий Новосибирской области по осуществлению уведомительной регистрации коллективных договоров, территориальных соглашений и территориальных отраслевых (межотраслевых) соглашений, изменений и дополнений к ним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492,10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551,60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588,80</w:t>
            </w:r>
            <w:r/>
          </w:p>
        </w:tc>
      </w:tr>
      <w:tr>
        <w:tblPrEx/>
        <w:trPr>
          <w:trHeight w:val="112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организации мероприятий при осуществлении деятельности по обращению с животными без владельцев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1 399,50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2 831,60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2 831,60</w:t>
            </w:r>
            <w:r/>
          </w:p>
        </w:tc>
      </w:tr>
      <w:tr>
        <w:tblPrEx/>
        <w:trPr>
          <w:trHeight w:val="180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мочий Новосибирской области по предоставлению гражданам, имеющим трех и более детей, в том числе принятых под опеку (попечительство), пасынков и падчериц, единовременной денежной выплаты взамен земельных участков для индивидуального жилищного строительства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9 531,50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4 923,20</w:t>
            </w:r>
            <w:r/>
          </w:p>
        </w:tc>
      </w:tr>
      <w:tr>
        <w:tblPrEx/>
        <w:trPr>
          <w:trHeight w:val="135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предоставлению отдельным категориям граждан единовременной денежной выплаты взамен земельных участков для индивидуального жилищного строительства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19 279,70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145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000 202 35082 05 0000 150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обеспечению жилыми помещениями детей-сирот и детей, оставшихся без попечения родителей, лиц  из их числа по договорам найма специализированных жилых помещений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67689-584,9=   67104,10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168 828,40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95 043,60</w:t>
            </w:r>
            <w:r/>
          </w:p>
        </w:tc>
      </w:tr>
      <w:tr>
        <w:tblPrEx/>
        <w:trPr>
          <w:trHeight w:val="111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000 202 35082 05 0000 150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предоставлению отдельным категориям граждан единовременной выплаты на приобретение в собственность жилого помещения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15543,6+584,9=   16128,5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000 202 35118 05 0000 150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полномочий  по первичному воинскому учету органами местного самоуправления поселений, муниципальных и городских округов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5 516,00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6 160,80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7 861,60</w:t>
            </w:r>
            <w:r/>
          </w:p>
        </w:tc>
      </w:tr>
      <w:tr>
        <w:tblPrEx/>
        <w:trPr>
          <w:trHeight w:val="91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000 202 35120 05 0000 150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81,90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11,10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12,10</w:t>
            </w:r>
            <w:r/>
          </w:p>
        </w:tc>
      </w:tr>
      <w:tr>
        <w:tblPrEx/>
        <w:trPr>
          <w:trHeight w:val="76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00020240000000000150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74 967,10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58 602,60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60 623,40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000 202 40014 05 0000 150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204,70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204,70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204,70</w:t>
            </w:r>
            <w:r/>
          </w:p>
        </w:tc>
      </w:tr>
      <w:tr>
        <w:tblPrEx/>
        <w:trPr>
          <w:trHeight w:val="135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000 202 40014 05 0000 150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передаваемые бюджетам муниципальных районов из бюджетов поселений на осуществление части полномочий по осуществлению внутреннего муниципального финансового контроля в соответствии с заключёнными соглашениями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790,20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790,20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790,20</w:t>
            </w:r>
            <w:r/>
          </w:p>
        </w:tc>
      </w:tr>
      <w:tr>
        <w:tblPrEx/>
        <w:trPr>
          <w:trHeight w:val="90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000 202 40014 05 0000 150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передаваемые бюджетам муниципальных районов из бюджетов поселений на прочие мероприятия в сфере дорожной деятельности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17 551,30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47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000 202 4505005 0000 150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1 968,60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1 968,60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1 968,60</w:t>
            </w:r>
            <w:r/>
          </w:p>
        </w:tc>
      </w:tr>
      <w:tr>
        <w:tblPrEx/>
        <w:trPr>
          <w:trHeight w:val="180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000 202 4517905 0000 150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на обеспечение деятельности советников директора по 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4 212,60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4 212,50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4 212,50</w:t>
            </w:r>
            <w:r/>
          </w:p>
        </w:tc>
      </w:tr>
      <w:tr>
        <w:tblPrEx/>
        <w:trPr>
          <w:trHeight w:val="157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00020245303050000150</w:t>
            </w:r>
            <w:r/>
          </w:p>
        </w:tc>
        <w:tc>
          <w:tcPr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на ежемесячное денежное вознагражде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38 435,00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38 810,00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38 810,00</w:t>
            </w:r>
            <w:r/>
          </w:p>
        </w:tc>
      </w:tr>
      <w:tr>
        <w:tblPrEx/>
        <w:trPr>
          <w:trHeight w:val="117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000 202 49999 05 0000 150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на реализацию мероприятий по обеспечению жильем молодых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2 111,30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2 111,30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2 111,30</w:t>
            </w:r>
            <w:r/>
          </w:p>
        </w:tc>
      </w:tr>
      <w:tr>
        <w:tblPrEx/>
        <w:trPr>
          <w:trHeight w:val="189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000 202 49999 05 0000 150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на ежемесячное денежное вознаграждение за классное руководство педагогическим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работникам муниципальных общеобразовательных организаций  в часи повышенного районного коэффициента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1 606,60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1 617,10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1 617,10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00020249999050000150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8 004,80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8 806,20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10 827,00</w:t>
            </w:r>
            <w:r/>
          </w:p>
        </w:tc>
      </w:tr>
      <w:tr>
        <w:tblPrEx/>
        <w:trPr>
          <w:trHeight w:val="156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00020249999050000150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 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организациях, профессиональных образовательных организациях, в части повышенного районного коэффициента 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82,00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82,00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82,00</w:t>
            </w:r>
            <w:r/>
          </w:p>
        </w:tc>
      </w:tr>
      <w:tr>
        <w:tblPrEx/>
        <w:trPr>
          <w:trHeight w:val="63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 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Итого доходов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2386930,0+374,8=    2 387 304,8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1 815 215,80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1 903 572,10</w:t>
            </w:r>
            <w:r/>
          </w:p>
        </w:tc>
      </w:tr>
    </w:tbl>
    <w:p>
      <w:pPr>
        <w:pStyle w:val="959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highlight w:val="none"/>
        </w:rPr>
      </w:pPr>
      <w:r>
        <w:t xml:space="preserve">  Изменения в расходной части бюджета  по разделам, подразделам и  целевым статьям и видам расходов  на 2026 год и плановый период 2027-2028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  <w:t xml:space="preserve">Таблица № 2 </w:t>
      </w:r>
      <w:r>
        <w:rPr>
          <w:highlight w:val="none"/>
        </w:rPr>
      </w:r>
      <w:r>
        <w:rPr>
          <w:highlight w:val="none"/>
        </w:rPr>
      </w:r>
    </w:p>
    <w:tbl>
      <w:tblPr>
        <w:tblStyle w:val="807"/>
        <w:tblW w:w="0" w:type="auto"/>
        <w:tblLook w:val="04A0" w:firstRow="1" w:lastRow="0" w:firstColumn="1" w:lastColumn="0" w:noHBand="0" w:noVBand="1"/>
      </w:tblPr>
      <w:tblGrid>
        <w:gridCol w:w="4268"/>
        <w:gridCol w:w="1058"/>
        <w:gridCol w:w="1178"/>
        <w:gridCol w:w="1238"/>
        <w:gridCol w:w="1058"/>
        <w:gridCol w:w="1943"/>
        <w:gridCol w:w="1943"/>
        <w:gridCol w:w="1943"/>
        <w:gridCol w:w="1928"/>
      </w:tblGrid>
      <w:tr>
        <w:tblPrEx/>
        <w:trPr>
          <w:trHeight w:val="2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Наименование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РЗ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ЦСР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Сумма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увеличение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уменьшение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Сумма</w:t>
            </w:r>
            <w:r/>
          </w:p>
        </w:tc>
      </w:tr>
      <w:tr>
        <w:tblPrEx/>
        <w:trPr>
          <w:trHeight w:val="2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2026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 утверждению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ОБЩЕГОСУДАРСТВЕННЫЕ ВОПРОСЫ</w:t>
            </w:r>
            <w:r/>
          </w:p>
        </w:tc>
        <w:tc>
          <w:tcPr>
            <w:tcBorders>
              <w:top w:val="single" w:color="000000" w:sz="6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240069,6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200,6</w:t>
            </w:r>
            <w:r/>
          </w:p>
        </w:tc>
        <w:tc>
          <w:tcPr>
            <w:tcBorders>
              <w:top w:val="single" w:color="000000" w:sz="6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124,9</w:t>
            </w:r>
            <w:r/>
          </w:p>
        </w:tc>
        <w:tc>
          <w:tcPr>
            <w:tcBorders>
              <w:top w:val="single" w:color="000000" w:sz="6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240145,3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3 928,1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3 928,1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3 928,1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3 928,1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2 871,8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2875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оплату труда и содержание аппарата управления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9900001990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17,4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оплату труда председателя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9900004110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2 857,6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2 857,6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72806,1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72902,9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обеспечение выполнения функций муниципальных органов власти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62756,3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62853,1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55 034,6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55134,6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7158,5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7155,3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563,2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563,2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9900070139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876,1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876,1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9900070139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876,1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876,1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Образование и организация деятельности комиссий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2 265,7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2 265,7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1 788,7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1 788,7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477,0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477,0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9900070180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3 085,7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3 085,7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9900070180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2 505,5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2 505,5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9900070180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580,2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580,2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Решение вопросов в сфере административных правонарушений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9,6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8,3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0,1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Субвенции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1,2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492,1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492,1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482,1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482,1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134,4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134,4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133,4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133,4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1,0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9900070289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3 186,1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3 186,1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9900070289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2 394,8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2 394,8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9900070289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791,3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791,3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Судебная система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Составление (изменение)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9900051200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5743,5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97,4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5840,9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обеспечение функций контрольно- счетного органа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3630,4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97,4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3727,8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3621,4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3621,4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97,4 (с 0113)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106,4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обеспечение функций по внутреннему контролю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9900010042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2113,1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2113,1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9900010042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1607,3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1607,3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9900010042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505,7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505,7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Резервные фонды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2314,10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2314,10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2314,10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2314,10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Резервные средства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2314,10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2314,10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Другие общегосударственные вопросы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152324,1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121,7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152202,4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Осуществление мероприятий муниципальной программы "Совершенствование и развитие архивного дела Колыванского района Новосибирской области"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1400010140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Закупка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1400010140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2820010120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45680,9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24,3 (на 0310)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45656,6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2820010120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40192,9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40192,9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2820010120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5422,4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5398,1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2820010120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65,5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65,5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Реализация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2900070610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619,8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619,8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2900070610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619,8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619,8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развитию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29000S0610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10,8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29000S0610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10,8</w:t>
            </w:r>
            <w:r/>
          </w:p>
        </w:tc>
      </w:tr>
      <w:tr>
        <w:tblPrEx/>
        <w:trPr>
          <w:trHeight w:val="78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Оценка недвижимости, признание прав и регулирование отношений по муниципальной собственности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760,00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760,00</w:t>
            </w:r>
            <w:r/>
          </w:p>
        </w:tc>
      </w:tr>
      <w:tr>
        <w:tblPrEx/>
        <w:trPr>
          <w:trHeight w:val="6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760,00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760,00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обеспечение деятельности муниципального учреждения, обеспечивающего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60 793,7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97,4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60696,3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56 704,8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56 704,8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4 081,2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97,4 (на 0106)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3983,8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9900010150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Прочие расходы по отдельным (разовым) решениям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9900010160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3929,7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3929,7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9900010160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3929,7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3929,7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40 429,3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40 429,3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40 429,3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40 429,3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НАЦИОНАЛЬНАЯ ОБОРОНА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Мобилизационная и вневойсковая подготовка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9900051180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Субвенции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9900051180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13516,8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13541,1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13516,8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13541,1</w:t>
            </w:r>
            <w:r/>
          </w:p>
        </w:tc>
      </w:tr>
      <w:tr>
        <w:tblPrEx/>
        <w:trPr>
          <w:trHeight w:val="22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Осуществление мероприятий в рамках реализации муниципальной программы "Организация и осуществление мероприятий в области 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гражданской обороны, предупреждения и ликвидации чрезвычайных ситуаций природного и техногенного характера, обеспечения пожарной безопасности и безопасности людей на водных объектах на территории Колыванского района Новосибирской области на 2025-2027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1800011010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1800011010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2810010120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13316,80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24,30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13341,10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2810010120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10 391,2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10 391,2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2810010120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2925,60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24,3 (с 0113)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2949,90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НАЦИОНАЛЬНАЯ ЭКОНОМИКА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144157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264,8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144421,8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Сельское хозяйство и рыболовство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1 599,5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1 599,5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в рамках муниципальной программы "Развитие сельского хозяйства и регулирование сельскохозяйственных рынков сырья и продовольствия в Колыванском районе Новосибирской области"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1900012020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Премии и гранты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1900012020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деятельности по обращению с животными без владельцев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1 399,5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1 399,5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1 399,5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1 399,5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Водное хозяйство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40 357,7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40 357,7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Защита территорий населенных пунктов Новосибирской области от подтопления и затопления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1800070870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40 357,7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40 357,7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1800070870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40 357,7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40 357,7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Транспорт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20 829,9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20 829,9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Осуществление полномочий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2000071100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14 086,2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14 086,2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2000071100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14 086,2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14 086,2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20000S1100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243,7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243,7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20000S1100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243,7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243,7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по организации пассажирских перевозок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9900012040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3 615,3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3 615,3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9900012040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3 615,3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3 615,3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2 884,7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2 884,7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2 884,7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2 884,7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Дорожное хозяйство (дорожные фонды)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76692,1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76692,1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Мероприятия, направленные на развитие муниципальных дорог за счет средств "Дорожного фонда"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200009Д050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24859,7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24859,7</w:t>
            </w:r>
            <w:r/>
          </w:p>
        </w:tc>
      </w:tr>
      <w:tr>
        <w:tblPrEx/>
        <w:trPr>
          <w:trHeight w:val="48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200009Д050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23859,6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23859,6</w:t>
            </w:r>
            <w:r/>
          </w:p>
        </w:tc>
      </w:tr>
      <w:tr>
        <w:tblPrEx/>
        <w:trPr>
          <w:trHeight w:val="3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200009Д050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</w:t>
            </w:r>
            <w:r/>
          </w:p>
        </w:tc>
      </w:tr>
      <w:tr>
        <w:tblPrEx/>
        <w:trPr>
          <w:trHeight w:val="3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Прочие мероприятия в сфере дорожной деятельности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200009Д060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17551,3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17551,3</w:t>
            </w:r>
            <w:r/>
          </w:p>
        </w:tc>
      </w:tr>
      <w:tr>
        <w:tblPrEx/>
        <w:trPr>
          <w:trHeight w:val="3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200009Д060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3967,5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3812,5</w:t>
            </w:r>
            <w:r/>
          </w:p>
        </w:tc>
      </w:tr>
      <w:tr>
        <w:tblPrEx/>
        <w:trPr>
          <w:trHeight w:val="3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200009Д060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13583,8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13738,8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устойчивого функционирования автомобильных дорог местного значения и искусственных сооружений на них, а также улично-дорожной сети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200009Д160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34 041,8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34 041,8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200009Д160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14 999,8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200009Д160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19 042,0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19041,8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обеспечению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20000SД160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239,3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239,3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20000SД160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239,3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239,3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4677,9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264,8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4942,7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мероприятий, предусмотренных муниципальной программой "Развитие субъектов малого и среднего предпринимательства в Колыванском районе Новосибирской области"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0200012200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297,8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297,8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0200012200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0200012200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247,8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247,8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Развитие малого и среднего предпринимательства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0200070690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129,7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0200070690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развитию малого и среднего предпринимательства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02000S0690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2,2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02000S0690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2,2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4 232,0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4 232,0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4 232,0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4 232,0</w:t>
            </w:r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Подготовка градостроительной документации и ( или) внесение изменений в нее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264,8 (ОБ)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264,8</w:t>
            </w:r>
            <w:r/>
          </w:p>
        </w:tc>
      </w:tr>
      <w:tr>
        <w:tblPrEx/>
        <w:trPr>
          <w:trHeight w:val="48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264,8 (ОБ)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264,8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99000S1200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16,2</w:t>
            </w:r>
            <w:r/>
          </w:p>
        </w:tc>
      </w:tr>
      <w:tr>
        <w:tblPrEx/>
        <w:trPr>
          <w:trHeight w:val="48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99000S1200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ЖИЛИЩНО-КОММУНАЛЬНОЕ ХОЗЯЙСТВО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208625,3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584,9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208040,4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Жилищное хозяйство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66931,4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584,9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66346,5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Прочие мероприятия в области жилищного хозяйства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9900013120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118,5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118,5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9900013120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118,5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118,5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9900070139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66 812,9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584,9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66228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9900070139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811,8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811,8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Бюджетные инвестиции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9900070139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66 001,1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584,9 (на 1004)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65416,2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Коммунальное хозяйство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135959,1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135959,1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Финансовое обеспечение реализации инфраструктурных (инвестиционных) проектов за счет средств от списания задолженности по бюджетным кредитам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0400009881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100 055,5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100 055,5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Бюджетные инвестиции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0400009881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100 055,5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100 055,5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Прочие мероприятия на поддержку коммунального хозяйства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0400013200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</w:t>
            </w:r>
            <w:r/>
          </w:p>
        </w:tc>
      </w:tr>
      <w:tr>
        <w:tblPrEx/>
        <w:trPr>
          <w:trHeight w:val="28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Бюджетные инвестиции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0400013200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0400013200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500,0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финансового обеспечения реализации инфраструктурных (инвестиционных) проектов за счет средств от списания задолженности по бюджетным кредитам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04000S9881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1 730,4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1 730,4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Бюджетные инвестиции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04000S9881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1 730,4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1 730,4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Снабжение населения топливом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9900070470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5 026,7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5 026,7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9900070470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2 065,0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2 065,0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9900070470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2 961,7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2 961,7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функционирования систем тепло-, водоснабжения населения и водоотведения, за исключением мероприятий по содержанию объектов тепло-,водоснабжения и водоотведения в состоянии, обеспечивающем их бесперебойную работу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9900070490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27 302,5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27 302,5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9900070490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10 381,4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10 381,4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9900070490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16 921,1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16 921,1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снабжению населения топливом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99000S0470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51,3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51,3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99000S0470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51,3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51,3</w:t>
            </w:r>
            <w:r/>
          </w:p>
        </w:tc>
      </w:tr>
      <w:tr>
        <w:tblPrEx/>
        <w:trPr>
          <w:trHeight w:val="15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организации функционирования систем тепло-, водоснабжения населения и водоотведения, за исключением мероприятий по содержанию объектов тепло-, водоснабжения и водоотведения в состоянии, обеспечивающем их бесперебойную работу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99000S0490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292,7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292,7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99000S0490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292,7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292,7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Благоустройство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530,8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Обустройство (создание) контейнерных площадок, приобретение контейнеров (емкостей) для накопления твердых коммунальных отходов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530,8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Другие вопросы в области жилищно-коммунального хозяйства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5 203,9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5 203,9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Строительство и реконструкция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5 115,4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5 115,4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Бюджетные инвестиции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5 115,4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5 115,4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к субсидии на строительство и реконструкция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99000S0550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Бюджетные инвестиции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99000S0550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ОБРАЗОВАНИЕ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1315680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1315680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Дошкольное образование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228794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228794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560,3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560,3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560,3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560,3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Меры социальной поддержки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9900003349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828,0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828,0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9900003349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828,0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828,0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Детские дошкольные учреждения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46061,9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46061,9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46061,9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46061,9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Реализация основных общеобразовательных программ дошкольного образования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130 511,7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130 511,7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130 511,7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130 511,7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50 832,1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50 832,1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50 832,1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50 832,1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Общее образование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941245,4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941245,4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0500003470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72 156,4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72 156,4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0500003470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72 156,4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72 156,4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8695,4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8695,4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8675,4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8675,4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2 556,5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2 556,5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2 556,5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2 556,5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ресурсному обеспечению модернизации образования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05000S3470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1 248,0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1 248,0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05000S3470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1 248,0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1 248,0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Реализация мероприятий по модернизации школьных систем образования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050Ю4L7501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48 723,3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48 723,3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050Ю4L7501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48 723,3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48 723,3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Меры социальной поддержки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9900003349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18 509,2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18 509,2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9900003349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18 509,2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18 509,2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Школы-детские сады, школы начальные, неполные средние и средние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118487,4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118487,4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118487,4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118487,4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Реализация общеобразовательных программ в муниципальных общеобразовательных организациях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356 782,5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356 782,5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356 782,5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356 782,5</w:t>
            </w:r>
            <w:r/>
          </w:p>
        </w:tc>
      </w:tr>
      <w:tr>
        <w:tblPrEx/>
        <w:trPr>
          <w:trHeight w:val="204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получения образования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программам, для обучающихся с ограниченными возможностями здоровья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144 288,5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144 288,5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144 288,5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144 288,5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104 629,9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104 629,9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104 629,9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104 629,9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99000L3040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18 863,5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18 863,5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99000L3040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18 863,5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18 863,5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990Ю650500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1 968,6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1 968,6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990Ю650500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1 968,6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1 968,6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990Ю651790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4 212,6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4 212,6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990Ю651790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4 212,6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4 212,6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990Ю653030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38 435,0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38 435,0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990Ю653030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38 435,0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38 435,0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990Ю6А0500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990Ю6А0500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82,0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990Ю6А3030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1 606,6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1 606,6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990Ю6А3030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1 606,6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1 606,6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Дополнительное образование детей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125522,5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125522,5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241,6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241,6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241,6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241,6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содержание, обеспечение деятельности и мероприятия по внешкольной работе с детьми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9900015300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54318,1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54318,1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9900015300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54318,1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54318,1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70 962,8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70 962,8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8 192,4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8 192,4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62 770,4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62 770,4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Молодежная политика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"Молодежь Колыванского района Новосибирской области на 2025-2027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0800015400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0800015400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Другие вопросы в области образования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20 068,1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20 068,1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2 096,2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2 096,2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2 096,2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2 096,2</w:t>
            </w:r>
            <w:r/>
          </w:p>
        </w:tc>
      </w:tr>
      <w:tr>
        <w:tblPrEx/>
        <w:trPr>
          <w:trHeight w:val="18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мероприятий по отд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ыху и оздоровлению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0500070359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4 402,3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4 402,3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0500070359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586,5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586,5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0500070359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3 815,8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3 815,8</w:t>
            </w:r>
            <w:r/>
          </w:p>
        </w:tc>
      </w:tr>
      <w:tr>
        <w:tblPrEx/>
        <w:trPr>
          <w:trHeight w:val="18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отды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ху и оздоровлению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собственности.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05000S0359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76,2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05000S0359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05000S0359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66,0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2026-2030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0600015420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0600015420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1500015410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1500015410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Реализация мероприятий за счет средств муниципальной программы "Патриотическое воспитание граждан Российской Федерации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2700015800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2700015800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направленные на содержание учреждений, обеспечивающих предоставление психолого-педагогической, медицинской и социальной помощи обучающимся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9900015600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4 537,9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4 537,9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9900015600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4 537,9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4 537,9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8 875,5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8 875,5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8 875,5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8 875,5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КУЛЬТУРА, КИНЕМАТОГРАФИЯ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132 456,7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132566,7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Культура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132 456,7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132566,7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2026-2030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0600015420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0600015420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2026-2028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1000016000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1000016000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160,0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Стипендии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1000016000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Развитие и укрепление материально-технической базы домов культуры в населенных пунктах с числом жителей до 50 тысяч человек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10000L4670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1 271,0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1 271,0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10000L4670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1 271,0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1 271,0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Государственная поддержка отрасли культуры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10000L5190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283,0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283,0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10000L5190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283,0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283,0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Модернизация муниципальных музеев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100Я555970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2 099,7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2 099,7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100Я555970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2 099,7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2 099,7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1500015410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1500015410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содержание и обеспечение деятельности муниципальных библиотек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20 332,0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20 332,0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20 332,0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20 332,0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содержание и обеспечение деятельности муниципальных музеев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9900016300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21 396,4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21 396,4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9900016300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19 890,9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19 890,9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9900016300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9900016300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694,8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694,8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содержание и обеспечение деятельности Центра развития культуры Колыванского района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9900016400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41 077,7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41187,7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9900016400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36 911,0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36 911,0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9900016400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3 574,1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 ПД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3684,1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9900016400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592,6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592,6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45 756,9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45 756,9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13 687,0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13 687,0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32 069,9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32 069,9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СОЦИАЛЬНАЯ ПОЛИТИКА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152 949,2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584,9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153534,1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Пенсионное обеспечение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3 429,6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3 429,6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Доплаты к пенсиям муниципальных служащих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9900017100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3 429,6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3 429,6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9900017100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3 429,6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3 429,6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Социальное обслуживание населения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63 848,8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63 848,8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9900070180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55 844,0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55 844,0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9900070180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55 844,0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55 844,0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Создание системы долговременного ухода за гражданами пожилого возраста и инвалидами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990Я451630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8 004,8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8 004,8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990Я451630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8 004,8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8 004,8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Социальное обеспечение населения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21 516,0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21 516,0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жильем молодых семей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03000L4979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2 236,3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2 236,3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03000L4979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2 236,3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2 236,3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Предоставление отдельным категориям граждан единовременной денежной выплаты взамен земельных участков для индивидуального жилищного строительства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19 279,7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19 279,7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19 279,7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19 279,7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Охрана семьи и детства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64 154,8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584,9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64739,7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Предоставление единовременной выплаты на приобретение в собственность жилого помещения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15 543,6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584,90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16128,5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481,90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481,90</w:t>
            </w:r>
            <w:r/>
          </w:p>
        </w:tc>
      </w:tr>
      <w:tr>
        <w:tblPrEx/>
        <w:trPr>
          <w:trHeight w:val="28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выплаты населению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15061,70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584,9 (с 0501)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15646,60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Выплаты приемной семье на содержание подопечных детей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9910000000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15 924,8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15 924,8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9910070289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15 924,8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15 924,8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Выплата вознаграждения приемным родителям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9920000000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24 503,7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24 503,7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9920070289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24 503,7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24 503,7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Выплаты семьям опекунов на содержание подопечных детей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9930000000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8 182,7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8 182,7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9930070289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8 182,7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8 182,7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ФИЗИЧЕСКАЯ КУЛЬТУРА И СПОРТ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68215,5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4451,9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4355,1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68312,3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Физическая культура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23076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4451,9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27527,9</w:t>
            </w:r>
            <w:r/>
          </w:p>
        </w:tc>
      </w:tr>
      <w:tr>
        <w:tblPrEx/>
        <w:trPr>
          <w:trHeight w:val="87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96,8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196,8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96,8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196,8</w:t>
            </w:r>
            <w:r/>
          </w:p>
        </w:tc>
      </w:tr>
      <w:tr>
        <w:tblPrEx/>
        <w:trPr>
          <w:trHeight w:val="54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содержание, обеспечение деятельности и мероприятия по внешкольной работе с детьми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9900015300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8856,4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1531,2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10387,6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9900015300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8856,4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1531,2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10387,6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14119,6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2823,9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16943,5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14119,6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2823,9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16943,5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Массовый спорт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40784,4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40784,4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2026-2030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0600015420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0600015420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2025-2027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0900018100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598,00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598,00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0900018100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598,00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598,00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"Профилактика терроризма и противодействие экстремизму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1100015430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1100015430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Учреждения, обеспечивающие предоставление услуг в сфере физической культуры и спорта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9900018200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40 116,4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40 116,4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9900018200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33 427,2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32937,2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9900018200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2 755,0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490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3245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9900018200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3 934,2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3 934,2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Спорт высших достижений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4355,1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4355,1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содержание, обеспечение деятельности и мероприятия по внешкольной работе с детьми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9900015300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1531,2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1531,2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9900015300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1531,2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1531,2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2823,9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2823,9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2823,9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2823,9</w:t>
            </w:r>
            <w:r/>
          </w:p>
        </w:tc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ОБСЛУЖИВАНИЕ ГОСУДАРСТВЕННОГО (МУНИЦИПАЛЬНОГО) ДОЛГА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4 817,5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6002,1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10819,6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Обслуживание государственного (муниципального) внутреннего долга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4 817,5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6002,1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10819,6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Обслуживание муниципального долга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9900019100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4 817,5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6002,1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10819,6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Обслуживание муниципального долга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9900019100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730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4 817,5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6002,1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10819,6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МЕЖБЮДЖЕТНЫЕ ТРАНСФЕРТЫ ОБЩЕГО ХАРАКТЕРА БЮДЖЕТАМ БЮДЖЕТНОЙ СИСТЕМЫ РОССИЙСКОЙ ФЕДЕРАЦИИ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138886,8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129 663,3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129 663,3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Расчет и предоставление дотаций бюджетам поселений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129 663,3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129 663,3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Дотации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129 663,3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129 663,3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Прочие межбюджетные трансферты общего характера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9223,5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9223,5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1500015410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1500015410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1085,9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1085,9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1085,9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1085,9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8 117,6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8 117,6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3" w:space="0"/>
              <w:left w:val="single" w:color="000000" w:sz="6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8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8 117,6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8 117,6</w:t>
            </w:r>
            <w:r/>
          </w:p>
        </w:tc>
      </w:tr>
      <w:tr>
        <w:tblPrEx/>
        <w:trPr>
          <w:trHeight w:val="270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02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Итого расходов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2424890,4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11638,6</w:t>
            </w:r>
            <w:r/>
          </w:p>
        </w:tc>
        <w:tc>
          <w:tcPr>
            <w:tcBorders>
              <w:top w:val="single" w:color="000000" w:sz="6" w:space="0"/>
              <w:left w:val="single" w:color="000000" w:sz="3" w:space="0"/>
              <w:bottom w:val="single" w:color="000000" w:sz="6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5064,9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8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2431464,1</w:t>
            </w:r>
            <w:r/>
          </w:p>
        </w:tc>
      </w:tr>
    </w:tbl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imbus Roman">
    <w:panose1 w:val="00000500000000000000"/>
  </w:font>
  <w:font w:name="Wingdings">
    <w:panose1 w:val="05010000000000000000"/>
  </w:font>
  <w:font w:name="Symbol">
    <w:panose1 w:val="05010000000000000000"/>
  </w:font>
  <w:font w:name="Calibri Light">
    <w:panose1 w:val="020F05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4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9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5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4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6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0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ind w:left="1440" w:hanging="360"/>
        <w:tabs>
          <w:tab w:val="num" w:pos="1440" w:leader="none"/>
        </w:tabs>
      </w:pPr>
      <w:rPr>
        <w:rFonts w:ascii="Wingdings" w:hAnsi="Wingdings"/>
      </w:rPr>
    </w:lvl>
    <w:lvl w:ilvl="2">
      <w:start w:val="1"/>
      <w:numFmt w:val="bullet"/>
      <w:isLgl w:val="false"/>
      <w:suff w:val="tab"/>
      <w:lvlText w:val="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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4">
      <w:start w:val="1"/>
      <w:numFmt w:val="bullet"/>
      <w:isLgl w:val="false"/>
      <w:suff w:val="tab"/>
      <w:lvlText w:val="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</w:rPr>
    </w:lvl>
    <w:lvl w:ilvl="5">
      <w:start w:val="1"/>
      <w:numFmt w:val="bullet"/>
      <w:isLgl w:val="false"/>
      <w:suff w:val="tab"/>
      <w:lvlText w:val="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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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</w:rPr>
    </w:lvl>
    <w:lvl w:ilvl="8">
      <w:start w:val="1"/>
      <w:numFmt w:val="bullet"/>
      <w:isLgl w:val="false"/>
      <w:suff w:val="tab"/>
      <w:lvlText w:val="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1" w:hanging="360"/>
        <w:tabs>
          <w:tab w:val="num" w:pos="1101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21" w:hanging="360"/>
        <w:tabs>
          <w:tab w:val="num" w:pos="182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41" w:hanging="360"/>
        <w:tabs>
          <w:tab w:val="num" w:pos="254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61" w:hanging="360"/>
        <w:tabs>
          <w:tab w:val="num" w:pos="326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81" w:hanging="360"/>
        <w:tabs>
          <w:tab w:val="num" w:pos="398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01" w:hanging="360"/>
        <w:tabs>
          <w:tab w:val="num" w:pos="470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21" w:hanging="360"/>
        <w:tabs>
          <w:tab w:val="num" w:pos="542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41" w:hanging="360"/>
        <w:tabs>
          <w:tab w:val="num" w:pos="614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61" w:hanging="360"/>
        <w:tabs>
          <w:tab w:val="num" w:pos="6861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  <w:tabs>
          <w:tab w:val="num" w:pos="6825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021" w:hanging="312"/>
        <w:tabs>
          <w:tab w:val="num" w:pos="1021" w:leader="none"/>
        </w:tabs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19" w:hanging="78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5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2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"/>
      <w:numFmt w:val="decimalZero"/>
      <w:isLgl w:val="false"/>
      <w:suff w:val="tab"/>
      <w:lvlText w:val="%1"/>
      <w:lvlJc w:val="left"/>
      <w:pPr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08" w:hanging="990"/>
        <w:tabs>
          <w:tab w:val="num" w:pos="160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98" w:hanging="360"/>
        <w:tabs>
          <w:tab w:val="num" w:pos="169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18" w:hanging="180"/>
        <w:tabs>
          <w:tab w:val="num" w:pos="24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38" w:hanging="360"/>
        <w:tabs>
          <w:tab w:val="num" w:pos="313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58" w:hanging="360"/>
        <w:tabs>
          <w:tab w:val="num" w:pos="385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78" w:hanging="180"/>
        <w:tabs>
          <w:tab w:val="num" w:pos="45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98" w:hanging="360"/>
        <w:tabs>
          <w:tab w:val="num" w:pos="529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18" w:hanging="360"/>
        <w:tabs>
          <w:tab w:val="num" w:pos="601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38" w:hanging="180"/>
        <w:tabs>
          <w:tab w:val="num" w:pos="6738" w:leader="none"/>
        </w:tabs>
      </w:pPr>
    </w:lvl>
  </w:abstractNum>
  <w:abstractNum w:abstractNumId="3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216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260" w:hanging="360"/>
        <w:tabs>
          <w:tab w:val="num" w:pos="12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4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4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567"/>
      </w:pPr>
      <w:rPr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ind w:left="0" w:firstLine="567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  <w:tabs>
          <w:tab w:val="num" w:pos="2520" w:leader="none"/>
        </w:tabs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4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4" w:hanging="180"/>
      </w:pPr>
    </w:lvl>
  </w:abstractNum>
  <w:num w:numId="1">
    <w:abstractNumId w:val="20"/>
  </w:num>
  <w:num w:numId="2">
    <w:abstractNumId w:val="48"/>
  </w:num>
  <w:num w:numId="3">
    <w:abstractNumId w:val="1"/>
  </w:num>
  <w:num w:numId="4">
    <w:abstractNumId w:val="14"/>
  </w:num>
  <w:num w:numId="5">
    <w:abstractNumId w:val="22"/>
  </w:num>
  <w:num w:numId="6">
    <w:abstractNumId w:val="26"/>
  </w:num>
  <w:num w:numId="7">
    <w:abstractNumId w:val="43"/>
  </w:num>
  <w:num w:numId="8">
    <w:abstractNumId w:val="3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33"/>
  </w:num>
  <w:num w:numId="14">
    <w:abstractNumId w:val="35"/>
  </w:num>
  <w:num w:numId="15">
    <w:abstractNumId w:val="28"/>
  </w:num>
  <w:num w:numId="16">
    <w:abstractNumId w:val="12"/>
  </w:num>
  <w:num w:numId="17">
    <w:abstractNumId w:val="17"/>
  </w:num>
  <w:num w:numId="18">
    <w:abstractNumId w:val="41"/>
  </w:num>
  <w:num w:numId="19">
    <w:abstractNumId w:val="19"/>
  </w:num>
  <w:num w:numId="20">
    <w:abstractNumId w:val="2"/>
  </w:num>
  <w:num w:numId="21">
    <w:abstractNumId w:val="36"/>
  </w:num>
  <w:num w:numId="22">
    <w:abstractNumId w:val="44"/>
  </w:num>
  <w:num w:numId="23">
    <w:abstractNumId w:val="27"/>
  </w:num>
  <w:num w:numId="24">
    <w:abstractNumId w:val="8"/>
  </w:num>
  <w:num w:numId="25">
    <w:abstractNumId w:val="46"/>
  </w:num>
  <w:num w:numId="26">
    <w:abstractNumId w:val="39"/>
  </w:num>
  <w:num w:numId="27">
    <w:abstractNumId w:val="5"/>
  </w:num>
  <w:num w:numId="28">
    <w:abstractNumId w:val="34"/>
  </w:num>
  <w:num w:numId="29">
    <w:abstractNumId w:val="6"/>
  </w:num>
  <w:num w:numId="30">
    <w:abstractNumId w:val="23"/>
  </w:num>
  <w:num w:numId="31">
    <w:abstractNumId w:val="4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11"/>
  </w:num>
  <w:num w:numId="35">
    <w:abstractNumId w:val="37"/>
  </w:num>
  <w:num w:numId="36">
    <w:abstractNumId w:val="47"/>
  </w:num>
  <w:num w:numId="37">
    <w:abstractNumId w:val="21"/>
  </w:num>
  <w:num w:numId="38">
    <w:abstractNumId w:val="13"/>
  </w:num>
  <w:num w:numId="39">
    <w:abstractNumId w:val="10"/>
  </w:num>
  <w:num w:numId="40">
    <w:abstractNumId w:val="30"/>
  </w:num>
  <w:num w:numId="41">
    <w:abstractNumId w:val="32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16"/>
  </w:num>
  <w:num w:numId="47">
    <w:abstractNumId w:val="25"/>
  </w:num>
  <w:num w:numId="48">
    <w:abstractNumId w:val="31"/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3">
    <w:name w:val="Heading 1"/>
    <w:basedOn w:val="951"/>
    <w:next w:val="951"/>
    <w:link w:val="7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4">
    <w:name w:val="Heading 1 Char"/>
    <w:link w:val="773"/>
    <w:uiPriority w:val="9"/>
    <w:rPr>
      <w:rFonts w:ascii="Arial" w:hAnsi="Arial" w:eastAsia="Arial" w:cs="Arial"/>
      <w:sz w:val="40"/>
      <w:szCs w:val="40"/>
    </w:rPr>
  </w:style>
  <w:style w:type="paragraph" w:styleId="775">
    <w:name w:val="Heading 2"/>
    <w:basedOn w:val="951"/>
    <w:next w:val="951"/>
    <w:link w:val="7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6">
    <w:name w:val="Heading 2 Char"/>
    <w:link w:val="775"/>
    <w:uiPriority w:val="9"/>
    <w:rPr>
      <w:rFonts w:ascii="Arial" w:hAnsi="Arial" w:eastAsia="Arial" w:cs="Arial"/>
      <w:sz w:val="34"/>
    </w:rPr>
  </w:style>
  <w:style w:type="paragraph" w:styleId="777">
    <w:name w:val="Heading 3"/>
    <w:basedOn w:val="951"/>
    <w:next w:val="951"/>
    <w:link w:val="7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8">
    <w:name w:val="Heading 3 Char"/>
    <w:link w:val="777"/>
    <w:uiPriority w:val="9"/>
    <w:rPr>
      <w:rFonts w:ascii="Arial" w:hAnsi="Arial" w:eastAsia="Arial" w:cs="Arial"/>
      <w:sz w:val="30"/>
      <w:szCs w:val="30"/>
    </w:rPr>
  </w:style>
  <w:style w:type="paragraph" w:styleId="779">
    <w:name w:val="Heading 4"/>
    <w:basedOn w:val="951"/>
    <w:next w:val="951"/>
    <w:link w:val="7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0">
    <w:name w:val="Heading 4 Char"/>
    <w:link w:val="779"/>
    <w:uiPriority w:val="9"/>
    <w:rPr>
      <w:rFonts w:ascii="Arial" w:hAnsi="Arial" w:eastAsia="Arial" w:cs="Arial"/>
      <w:b/>
      <w:bCs/>
      <w:sz w:val="26"/>
      <w:szCs w:val="26"/>
    </w:rPr>
  </w:style>
  <w:style w:type="paragraph" w:styleId="781">
    <w:name w:val="Heading 5"/>
    <w:basedOn w:val="951"/>
    <w:next w:val="951"/>
    <w:link w:val="7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2">
    <w:name w:val="Heading 5 Char"/>
    <w:link w:val="781"/>
    <w:uiPriority w:val="9"/>
    <w:rPr>
      <w:rFonts w:ascii="Arial" w:hAnsi="Arial" w:eastAsia="Arial" w:cs="Arial"/>
      <w:b/>
      <w:bCs/>
      <w:sz w:val="24"/>
      <w:szCs w:val="24"/>
    </w:rPr>
  </w:style>
  <w:style w:type="paragraph" w:styleId="783">
    <w:name w:val="Heading 6"/>
    <w:basedOn w:val="951"/>
    <w:next w:val="951"/>
    <w:link w:val="7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4">
    <w:name w:val="Heading 6 Char"/>
    <w:link w:val="783"/>
    <w:uiPriority w:val="9"/>
    <w:rPr>
      <w:rFonts w:ascii="Arial" w:hAnsi="Arial" w:eastAsia="Arial" w:cs="Arial"/>
      <w:b/>
      <w:bCs/>
      <w:sz w:val="22"/>
      <w:szCs w:val="22"/>
    </w:rPr>
  </w:style>
  <w:style w:type="paragraph" w:styleId="785">
    <w:name w:val="Heading 7"/>
    <w:basedOn w:val="951"/>
    <w:next w:val="951"/>
    <w:link w:val="7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6">
    <w:name w:val="Heading 7 Char"/>
    <w:link w:val="7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7">
    <w:name w:val="Heading 8"/>
    <w:basedOn w:val="951"/>
    <w:next w:val="951"/>
    <w:link w:val="7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8">
    <w:name w:val="Heading 8 Char"/>
    <w:link w:val="787"/>
    <w:uiPriority w:val="9"/>
    <w:rPr>
      <w:rFonts w:ascii="Arial" w:hAnsi="Arial" w:eastAsia="Arial" w:cs="Arial"/>
      <w:i/>
      <w:iCs/>
      <w:sz w:val="22"/>
      <w:szCs w:val="22"/>
    </w:rPr>
  </w:style>
  <w:style w:type="paragraph" w:styleId="789">
    <w:name w:val="Heading 9"/>
    <w:basedOn w:val="951"/>
    <w:next w:val="951"/>
    <w:link w:val="7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0">
    <w:name w:val="Heading 9 Char"/>
    <w:link w:val="789"/>
    <w:uiPriority w:val="9"/>
    <w:rPr>
      <w:rFonts w:ascii="Arial" w:hAnsi="Arial" w:eastAsia="Arial" w:cs="Arial"/>
      <w:i/>
      <w:iCs/>
      <w:sz w:val="21"/>
      <w:szCs w:val="21"/>
    </w:rPr>
  </w:style>
  <w:style w:type="paragraph" w:styleId="791">
    <w:name w:val="List Paragraph"/>
    <w:basedOn w:val="951"/>
    <w:uiPriority w:val="34"/>
    <w:qFormat/>
    <w:pPr>
      <w:contextualSpacing/>
      <w:ind w:left="720"/>
    </w:pPr>
  </w:style>
  <w:style w:type="paragraph" w:styleId="792">
    <w:name w:val="No Spacing"/>
    <w:uiPriority w:val="1"/>
    <w:qFormat/>
    <w:pPr>
      <w:spacing w:before="0" w:after="0" w:line="240" w:lineRule="auto"/>
    </w:pPr>
  </w:style>
  <w:style w:type="paragraph" w:styleId="793">
    <w:name w:val="Title"/>
    <w:basedOn w:val="951"/>
    <w:next w:val="951"/>
    <w:link w:val="7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4">
    <w:name w:val="Title Char"/>
    <w:link w:val="793"/>
    <w:uiPriority w:val="10"/>
    <w:rPr>
      <w:sz w:val="48"/>
      <w:szCs w:val="48"/>
    </w:rPr>
  </w:style>
  <w:style w:type="paragraph" w:styleId="795">
    <w:name w:val="Subtitle"/>
    <w:basedOn w:val="951"/>
    <w:next w:val="951"/>
    <w:link w:val="796"/>
    <w:uiPriority w:val="11"/>
    <w:qFormat/>
    <w:pPr>
      <w:spacing w:before="200" w:after="200"/>
    </w:pPr>
    <w:rPr>
      <w:sz w:val="24"/>
      <w:szCs w:val="24"/>
    </w:rPr>
  </w:style>
  <w:style w:type="character" w:styleId="796">
    <w:name w:val="Subtitle Char"/>
    <w:link w:val="795"/>
    <w:uiPriority w:val="11"/>
    <w:rPr>
      <w:sz w:val="24"/>
      <w:szCs w:val="24"/>
    </w:rPr>
  </w:style>
  <w:style w:type="paragraph" w:styleId="797">
    <w:name w:val="Quote"/>
    <w:basedOn w:val="951"/>
    <w:next w:val="951"/>
    <w:link w:val="798"/>
    <w:uiPriority w:val="29"/>
    <w:qFormat/>
    <w:pPr>
      <w:ind w:left="720" w:right="720"/>
    </w:pPr>
    <w:rPr>
      <w:i/>
    </w:rPr>
  </w:style>
  <w:style w:type="character" w:styleId="798">
    <w:name w:val="Quote Char"/>
    <w:link w:val="797"/>
    <w:uiPriority w:val="29"/>
    <w:rPr>
      <w:i/>
    </w:rPr>
  </w:style>
  <w:style w:type="paragraph" w:styleId="799">
    <w:name w:val="Intense Quote"/>
    <w:basedOn w:val="951"/>
    <w:next w:val="951"/>
    <w:link w:val="8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0">
    <w:name w:val="Intense Quote Char"/>
    <w:link w:val="799"/>
    <w:uiPriority w:val="30"/>
    <w:rPr>
      <w:i/>
    </w:rPr>
  </w:style>
  <w:style w:type="paragraph" w:styleId="801">
    <w:name w:val="Header"/>
    <w:basedOn w:val="951"/>
    <w:link w:val="8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2">
    <w:name w:val="Header Char"/>
    <w:link w:val="801"/>
    <w:uiPriority w:val="99"/>
  </w:style>
  <w:style w:type="paragraph" w:styleId="803">
    <w:name w:val="Footer"/>
    <w:basedOn w:val="951"/>
    <w:link w:val="8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4">
    <w:name w:val="Footer Char"/>
    <w:link w:val="803"/>
    <w:uiPriority w:val="99"/>
  </w:style>
  <w:style w:type="paragraph" w:styleId="805">
    <w:name w:val="Caption"/>
    <w:basedOn w:val="951"/>
    <w:next w:val="951"/>
    <w:link w:val="8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6">
    <w:name w:val="Caption Char"/>
    <w:basedOn w:val="805"/>
    <w:link w:val="803"/>
    <w:uiPriority w:val="99"/>
  </w:style>
  <w:style w:type="table" w:styleId="8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3">
    <w:name w:val="Hyperlink"/>
    <w:uiPriority w:val="99"/>
    <w:unhideWhenUsed/>
    <w:rPr>
      <w:color w:val="0000ff" w:themeColor="hyperlink"/>
      <w:u w:val="single"/>
    </w:rPr>
  </w:style>
  <w:style w:type="paragraph" w:styleId="934">
    <w:name w:val="footnote text"/>
    <w:basedOn w:val="951"/>
    <w:link w:val="935"/>
    <w:uiPriority w:val="99"/>
    <w:semiHidden/>
    <w:unhideWhenUsed/>
    <w:pPr>
      <w:spacing w:after="40" w:line="240" w:lineRule="auto"/>
    </w:pPr>
    <w:rPr>
      <w:sz w:val="18"/>
    </w:rPr>
  </w:style>
  <w:style w:type="character" w:styleId="935">
    <w:name w:val="Footnote Text Char"/>
    <w:link w:val="934"/>
    <w:uiPriority w:val="99"/>
    <w:rPr>
      <w:sz w:val="18"/>
    </w:rPr>
  </w:style>
  <w:style w:type="character" w:styleId="936">
    <w:name w:val="footnote reference"/>
    <w:uiPriority w:val="99"/>
    <w:unhideWhenUsed/>
    <w:rPr>
      <w:vertAlign w:val="superscript"/>
    </w:rPr>
  </w:style>
  <w:style w:type="paragraph" w:styleId="937">
    <w:name w:val="endnote text"/>
    <w:basedOn w:val="951"/>
    <w:link w:val="938"/>
    <w:uiPriority w:val="99"/>
    <w:semiHidden/>
    <w:unhideWhenUsed/>
    <w:pPr>
      <w:spacing w:after="0" w:line="240" w:lineRule="auto"/>
    </w:pPr>
    <w:rPr>
      <w:sz w:val="20"/>
    </w:rPr>
  </w:style>
  <w:style w:type="character" w:styleId="938">
    <w:name w:val="Endnote Text Char"/>
    <w:link w:val="937"/>
    <w:uiPriority w:val="99"/>
    <w:rPr>
      <w:sz w:val="20"/>
    </w:rPr>
  </w:style>
  <w:style w:type="character" w:styleId="939">
    <w:name w:val="endnote reference"/>
    <w:uiPriority w:val="99"/>
    <w:semiHidden/>
    <w:unhideWhenUsed/>
    <w:rPr>
      <w:vertAlign w:val="superscript"/>
    </w:rPr>
  </w:style>
  <w:style w:type="paragraph" w:styleId="940">
    <w:name w:val="toc 1"/>
    <w:basedOn w:val="951"/>
    <w:next w:val="951"/>
    <w:uiPriority w:val="39"/>
    <w:unhideWhenUsed/>
    <w:pPr>
      <w:ind w:left="0" w:right="0" w:firstLine="0"/>
      <w:spacing w:after="57"/>
    </w:pPr>
  </w:style>
  <w:style w:type="paragraph" w:styleId="941">
    <w:name w:val="toc 2"/>
    <w:basedOn w:val="951"/>
    <w:next w:val="951"/>
    <w:uiPriority w:val="39"/>
    <w:unhideWhenUsed/>
    <w:pPr>
      <w:ind w:left="283" w:right="0" w:firstLine="0"/>
      <w:spacing w:after="57"/>
    </w:pPr>
  </w:style>
  <w:style w:type="paragraph" w:styleId="942">
    <w:name w:val="toc 3"/>
    <w:basedOn w:val="951"/>
    <w:next w:val="951"/>
    <w:uiPriority w:val="39"/>
    <w:unhideWhenUsed/>
    <w:pPr>
      <w:ind w:left="567" w:right="0" w:firstLine="0"/>
      <w:spacing w:after="57"/>
    </w:pPr>
  </w:style>
  <w:style w:type="paragraph" w:styleId="943">
    <w:name w:val="toc 4"/>
    <w:basedOn w:val="951"/>
    <w:next w:val="951"/>
    <w:uiPriority w:val="39"/>
    <w:unhideWhenUsed/>
    <w:pPr>
      <w:ind w:left="850" w:right="0" w:firstLine="0"/>
      <w:spacing w:after="57"/>
    </w:pPr>
  </w:style>
  <w:style w:type="paragraph" w:styleId="944">
    <w:name w:val="toc 5"/>
    <w:basedOn w:val="951"/>
    <w:next w:val="951"/>
    <w:uiPriority w:val="39"/>
    <w:unhideWhenUsed/>
    <w:pPr>
      <w:ind w:left="1134" w:right="0" w:firstLine="0"/>
      <w:spacing w:after="57"/>
    </w:pPr>
  </w:style>
  <w:style w:type="paragraph" w:styleId="945">
    <w:name w:val="toc 6"/>
    <w:basedOn w:val="951"/>
    <w:next w:val="951"/>
    <w:uiPriority w:val="39"/>
    <w:unhideWhenUsed/>
    <w:pPr>
      <w:ind w:left="1417" w:right="0" w:firstLine="0"/>
      <w:spacing w:after="57"/>
    </w:pPr>
  </w:style>
  <w:style w:type="paragraph" w:styleId="946">
    <w:name w:val="toc 7"/>
    <w:basedOn w:val="951"/>
    <w:next w:val="951"/>
    <w:uiPriority w:val="39"/>
    <w:unhideWhenUsed/>
    <w:pPr>
      <w:ind w:left="1701" w:right="0" w:firstLine="0"/>
      <w:spacing w:after="57"/>
    </w:pPr>
  </w:style>
  <w:style w:type="paragraph" w:styleId="947">
    <w:name w:val="toc 8"/>
    <w:basedOn w:val="951"/>
    <w:next w:val="951"/>
    <w:uiPriority w:val="39"/>
    <w:unhideWhenUsed/>
    <w:pPr>
      <w:ind w:left="1984" w:right="0" w:firstLine="0"/>
      <w:spacing w:after="57"/>
    </w:pPr>
  </w:style>
  <w:style w:type="paragraph" w:styleId="948">
    <w:name w:val="toc 9"/>
    <w:basedOn w:val="951"/>
    <w:next w:val="951"/>
    <w:uiPriority w:val="39"/>
    <w:unhideWhenUsed/>
    <w:pPr>
      <w:ind w:left="2268" w:right="0" w:firstLine="0"/>
      <w:spacing w:after="57"/>
    </w:pPr>
  </w:style>
  <w:style w:type="paragraph" w:styleId="949">
    <w:name w:val="TOC Heading"/>
    <w:uiPriority w:val="39"/>
    <w:unhideWhenUsed/>
  </w:style>
  <w:style w:type="paragraph" w:styleId="950">
    <w:name w:val="table of figures"/>
    <w:basedOn w:val="951"/>
    <w:next w:val="951"/>
    <w:uiPriority w:val="99"/>
    <w:unhideWhenUsed/>
    <w:pPr>
      <w:spacing w:after="0" w:afterAutospacing="0"/>
    </w:pPr>
  </w:style>
  <w:style w:type="paragraph" w:styleId="951" w:default="1">
    <w:name w:val="Normal"/>
    <w:next w:val="951"/>
    <w:link w:val="951"/>
    <w:qFormat/>
    <w:rPr>
      <w:sz w:val="28"/>
      <w:lang w:val="ru-RU" w:eastAsia="ru-RU" w:bidi="ar-SA"/>
    </w:rPr>
  </w:style>
  <w:style w:type="character" w:styleId="952">
    <w:name w:val="Основной шрифт абзаца"/>
    <w:next w:val="952"/>
    <w:link w:val="951"/>
    <w:semiHidden/>
  </w:style>
  <w:style w:type="table" w:styleId="953">
    <w:name w:val="Обычная таблица"/>
    <w:next w:val="953"/>
    <w:link w:val="951"/>
    <w:semiHidden/>
    <w:tblPr/>
  </w:style>
  <w:style w:type="numbering" w:styleId="954">
    <w:name w:val="Нет списка"/>
    <w:next w:val="954"/>
    <w:link w:val="951"/>
    <w:uiPriority w:val="99"/>
    <w:semiHidden/>
  </w:style>
  <w:style w:type="paragraph" w:styleId="955">
    <w:name w:val="Знак"/>
    <w:basedOn w:val="951"/>
    <w:next w:val="955"/>
    <w:link w:val="951"/>
    <w:uiPriority w:val="9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6">
    <w:name w:val="Основной текст, Знак, Знак1 Знак,Основной текст1,bt,Основной текст Знак,Знак1 Знак"/>
    <w:basedOn w:val="951"/>
    <w:next w:val="956"/>
    <w:link w:val="957"/>
    <w:pPr>
      <w:jc w:val="both"/>
    </w:pPr>
  </w:style>
  <w:style w:type="character" w:styleId="957">
    <w:name w:val="Основной текст Знак1, Знак Знак, Знак1 Знак Знак,Основной текст1 Знак,bt Знак,Основной текст Знак Знак,Знак1 Знак Знак,Знак Знак"/>
    <w:next w:val="957"/>
    <w:link w:val="956"/>
    <w:rPr>
      <w:sz w:val="28"/>
      <w:lang w:val="ru-RU" w:eastAsia="ru-RU" w:bidi="ar-SA"/>
    </w:rPr>
  </w:style>
  <w:style w:type="table" w:styleId="958">
    <w:name w:val="Сетка таблицы"/>
    <w:basedOn w:val="953"/>
    <w:next w:val="958"/>
    <w:link w:val="951"/>
    <w:uiPriority w:val="39"/>
    <w:tblPr/>
  </w:style>
  <w:style w:type="paragraph" w:styleId="959">
    <w:name w:val="Верхний колонтитул"/>
    <w:basedOn w:val="951"/>
    <w:next w:val="959"/>
    <w:link w:val="975"/>
    <w:pPr>
      <w:ind w:firstLine="709"/>
      <w:jc w:val="both"/>
      <w:tabs>
        <w:tab w:val="center" w:pos="4536" w:leader="none"/>
        <w:tab w:val="right" w:pos="9072" w:leader="none"/>
      </w:tabs>
    </w:pPr>
    <w:rPr>
      <w:szCs w:val="28"/>
    </w:rPr>
  </w:style>
  <w:style w:type="paragraph" w:styleId="960">
    <w:name w:val="Основной текст с отступом 2"/>
    <w:basedOn w:val="951"/>
    <w:next w:val="960"/>
    <w:link w:val="951"/>
    <w:pPr>
      <w:ind w:left="283"/>
      <w:spacing w:after="120" w:line="480" w:lineRule="auto"/>
    </w:pPr>
    <w:rPr>
      <w:sz w:val="24"/>
      <w:szCs w:val="24"/>
    </w:rPr>
  </w:style>
  <w:style w:type="paragraph" w:styleId="961">
    <w:name w:val="Заголовок,Название"/>
    <w:basedOn w:val="951"/>
    <w:next w:val="961"/>
    <w:link w:val="973"/>
    <w:uiPriority w:val="10"/>
    <w:qFormat/>
    <w:pPr>
      <w:jc w:val="center"/>
    </w:pPr>
    <w:rPr>
      <w:b/>
      <w:sz w:val="24"/>
    </w:rPr>
  </w:style>
  <w:style w:type="paragraph" w:styleId="962">
    <w:name w:val="ConsNormal"/>
    <w:next w:val="962"/>
    <w:link w:val="951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963">
    <w:name w:val="Нижний колонтитул"/>
    <w:basedOn w:val="951"/>
    <w:next w:val="963"/>
    <w:link w:val="974"/>
    <w:uiPriority w:val="99"/>
    <w:pPr>
      <w:tabs>
        <w:tab w:val="center" w:pos="4677" w:leader="none"/>
        <w:tab w:val="right" w:pos="9355" w:leader="none"/>
      </w:tabs>
    </w:pPr>
  </w:style>
  <w:style w:type="character" w:styleId="964">
    <w:name w:val="Номер страницы"/>
    <w:basedOn w:val="952"/>
    <w:next w:val="964"/>
    <w:link w:val="951"/>
  </w:style>
  <w:style w:type="paragraph" w:styleId="965">
    <w:name w:val="ConsNonformat"/>
    <w:next w:val="965"/>
    <w:link w:val="951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66">
    <w:name w:val="ConsTitle"/>
    <w:next w:val="966"/>
    <w:link w:val="951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67">
    <w:name w:val="Normal1"/>
    <w:next w:val="967"/>
    <w:link w:val="951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68">
    <w:name w:val="ConsPlusNormal"/>
    <w:next w:val="968"/>
    <w:link w:val="1015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69">
    <w:name w:val="ConsPlusNonformat"/>
    <w:next w:val="969"/>
    <w:link w:val="951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70">
    <w:name w:val="ConsPlusTitle"/>
    <w:next w:val="970"/>
    <w:link w:val="951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71">
    <w:name w:val="Оглавление 2"/>
    <w:basedOn w:val="951"/>
    <w:next w:val="951"/>
    <w:link w:val="951"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  <w:szCs w:val="24"/>
    </w:rPr>
  </w:style>
  <w:style w:type="paragraph" w:styleId="972">
    <w:name w:val=" Знак Знак1 Знак Знак"/>
    <w:basedOn w:val="951"/>
    <w:next w:val="972"/>
    <w:link w:val="95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73">
    <w:name w:val="Название Знак"/>
    <w:next w:val="973"/>
    <w:link w:val="961"/>
    <w:rPr>
      <w:b/>
      <w:sz w:val="24"/>
    </w:rPr>
  </w:style>
  <w:style w:type="character" w:styleId="974">
    <w:name w:val="Нижний колонтитул Знак"/>
    <w:next w:val="974"/>
    <w:link w:val="963"/>
    <w:uiPriority w:val="99"/>
    <w:rPr>
      <w:sz w:val="28"/>
    </w:rPr>
  </w:style>
  <w:style w:type="character" w:styleId="975">
    <w:name w:val="Верхний колонтитул Знак"/>
    <w:next w:val="975"/>
    <w:link w:val="959"/>
    <w:uiPriority w:val="99"/>
    <w:rPr>
      <w:sz w:val="28"/>
      <w:szCs w:val="28"/>
    </w:rPr>
  </w:style>
  <w:style w:type="paragraph" w:styleId="976">
    <w:name w:val="Текст выноски"/>
    <w:basedOn w:val="951"/>
    <w:next w:val="976"/>
    <w:link w:val="977"/>
    <w:rPr>
      <w:rFonts w:ascii="Tahoma" w:hAnsi="Tahoma" w:cs="Tahoma"/>
      <w:sz w:val="16"/>
      <w:szCs w:val="16"/>
    </w:rPr>
  </w:style>
  <w:style w:type="character" w:styleId="977">
    <w:name w:val="Текст выноски Знак"/>
    <w:next w:val="977"/>
    <w:link w:val="976"/>
    <w:rPr>
      <w:rFonts w:ascii="Tahoma" w:hAnsi="Tahoma" w:cs="Tahoma"/>
      <w:sz w:val="16"/>
      <w:szCs w:val="16"/>
    </w:rPr>
  </w:style>
  <w:style w:type="paragraph" w:styleId="978">
    <w:name w:val="Знак Знак1 Знак Знак"/>
    <w:basedOn w:val="951"/>
    <w:next w:val="978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9">
    <w:name w:val=" Знак Знак1 Знак Знак Знак Знак"/>
    <w:basedOn w:val="951"/>
    <w:next w:val="979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0">
    <w:name w:val=" Знак Знак1"/>
    <w:basedOn w:val="951"/>
    <w:next w:val="980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1">
    <w:name w:val=" Знак Знак1 Знак Знак Знак Знак Знак Знак Знак Знак"/>
    <w:basedOn w:val="951"/>
    <w:next w:val="981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2">
    <w:name w:val=" Знак Знак4"/>
    <w:basedOn w:val="951"/>
    <w:next w:val="982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83">
    <w:name w:val="Выделение"/>
    <w:next w:val="983"/>
    <w:link w:val="951"/>
    <w:qFormat/>
    <w:rPr>
      <w:rFonts w:cs="Times New Roman"/>
      <w:i/>
      <w:iCs/>
    </w:rPr>
  </w:style>
  <w:style w:type="paragraph" w:styleId="984">
    <w:name w:val=" Знак Знак4 Знак Знак Знак Знак1 Знак Знак Знак Знак"/>
    <w:basedOn w:val="951"/>
    <w:next w:val="984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5">
    <w:name w:val=" Знак Знак4 Знак Знак Знак Знак"/>
    <w:basedOn w:val="951"/>
    <w:next w:val="985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6">
    <w:name w:val=" Знак Знак4 Знак Знак"/>
    <w:basedOn w:val="951"/>
    <w:next w:val="986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7">
    <w:name w:val=" Знак Знак4 Знак Знак Знак Знак1"/>
    <w:basedOn w:val="951"/>
    <w:next w:val="987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8">
    <w:name w:val=" Знак Знак5"/>
    <w:basedOn w:val="951"/>
    <w:next w:val="988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9">
    <w:name w:val="Знак Знак Знак2 Знак"/>
    <w:basedOn w:val="951"/>
    <w:next w:val="989"/>
    <w:link w:val="951"/>
    <w:pPr>
      <w:jc w:val="right"/>
      <w:spacing w:after="160" w:line="240" w:lineRule="exact"/>
      <w:widowControl w:val="off"/>
    </w:pPr>
    <w:rPr>
      <w:sz w:val="20"/>
      <w:lang w:val="en-GB" w:eastAsia="en-US"/>
    </w:rPr>
  </w:style>
  <w:style w:type="paragraph" w:styleId="990">
    <w:name w:val="1"/>
    <w:basedOn w:val="951"/>
    <w:next w:val="990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91">
    <w:name w:val="Знак примечания"/>
    <w:next w:val="991"/>
    <w:link w:val="951"/>
    <w:uiPriority w:val="99"/>
    <w:unhideWhenUsed/>
    <w:rPr>
      <w:sz w:val="16"/>
      <w:szCs w:val="16"/>
    </w:rPr>
  </w:style>
  <w:style w:type="character" w:styleId="992">
    <w:name w:val="Основной текст (2)_"/>
    <w:next w:val="992"/>
    <w:link w:val="993"/>
    <w:rPr>
      <w:sz w:val="26"/>
      <w:szCs w:val="26"/>
      <w:shd w:val="clear" w:color="auto" w:fill="ffffff"/>
    </w:rPr>
  </w:style>
  <w:style w:type="paragraph" w:styleId="993">
    <w:name w:val="Основной текст (2)"/>
    <w:basedOn w:val="951"/>
    <w:next w:val="993"/>
    <w:link w:val="992"/>
    <w:pPr>
      <w:jc w:val="center"/>
      <w:spacing w:line="313" w:lineRule="exact"/>
      <w:shd w:val="clear" w:color="auto" w:fill="ffffff"/>
      <w:widowControl w:val="off"/>
    </w:pPr>
    <w:rPr>
      <w:sz w:val="26"/>
      <w:szCs w:val="26"/>
    </w:rPr>
  </w:style>
  <w:style w:type="paragraph" w:styleId="994">
    <w:name w:val="Абзац списка"/>
    <w:basedOn w:val="951"/>
    <w:next w:val="994"/>
    <w:link w:val="951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paragraph" w:styleId="995">
    <w:name w:val="Текст примечания"/>
    <w:basedOn w:val="951"/>
    <w:next w:val="995"/>
    <w:link w:val="996"/>
    <w:rPr>
      <w:sz w:val="20"/>
    </w:rPr>
  </w:style>
  <w:style w:type="character" w:styleId="996">
    <w:name w:val="Текст примечания Знак"/>
    <w:basedOn w:val="952"/>
    <w:next w:val="996"/>
    <w:link w:val="995"/>
  </w:style>
  <w:style w:type="paragraph" w:styleId="997">
    <w:name w:val="Тема примечания"/>
    <w:basedOn w:val="995"/>
    <w:next w:val="995"/>
    <w:link w:val="998"/>
    <w:rPr>
      <w:b/>
      <w:bCs/>
    </w:rPr>
  </w:style>
  <w:style w:type="character" w:styleId="998">
    <w:name w:val="Тема примечания Знак"/>
    <w:next w:val="998"/>
    <w:link w:val="997"/>
    <w:rPr>
      <w:b/>
      <w:bCs/>
    </w:rPr>
  </w:style>
  <w:style w:type="numbering" w:styleId="999">
    <w:name w:val="Нет списка1"/>
    <w:next w:val="954"/>
    <w:link w:val="951"/>
    <w:uiPriority w:val="99"/>
    <w:semiHidden/>
    <w:unhideWhenUsed/>
  </w:style>
  <w:style w:type="numbering" w:styleId="1000">
    <w:name w:val="Нет списка11"/>
    <w:next w:val="954"/>
    <w:link w:val="951"/>
    <w:semiHidden/>
  </w:style>
  <w:style w:type="paragraph" w:styleId="1001">
    <w:name w:val="Обычный1"/>
    <w:next w:val="1001"/>
    <w:link w:val="951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1002">
    <w:name w:val="Сетка таблицы1"/>
    <w:basedOn w:val="953"/>
    <w:next w:val="958"/>
    <w:link w:val="951"/>
    <w:tblPr/>
  </w:style>
  <w:style w:type="paragraph" w:styleId="1003">
    <w:name w:val="Знак Знак1"/>
    <w:basedOn w:val="951"/>
    <w:next w:val="1003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4">
    <w:name w:val="Знак Знак1 Знак Знак Знак Знак"/>
    <w:basedOn w:val="951"/>
    <w:next w:val="1004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5">
    <w:name w:val="Знак Знак1 Знак Знак Знак Знак Знак Знак Знак Знак"/>
    <w:basedOn w:val="951"/>
    <w:next w:val="1005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6">
    <w:name w:val="Знак Знак4"/>
    <w:basedOn w:val="951"/>
    <w:next w:val="1006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7">
    <w:name w:val="Знак Знак5"/>
    <w:basedOn w:val="951"/>
    <w:next w:val="1007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styleId="1008">
    <w:name w:val="Нет списка111"/>
    <w:next w:val="954"/>
    <w:link w:val="951"/>
    <w:uiPriority w:val="99"/>
    <w:semiHidden/>
    <w:unhideWhenUsed/>
  </w:style>
  <w:style w:type="character" w:styleId="1009">
    <w:name w:val="Заголовок Знак"/>
    <w:next w:val="1009"/>
    <w:link w:val="951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numbering" w:styleId="1010">
    <w:name w:val="Нет списка2"/>
    <w:next w:val="954"/>
    <w:link w:val="951"/>
    <w:semiHidden/>
  </w:style>
  <w:style w:type="numbering" w:styleId="1011">
    <w:name w:val="Нет списка12"/>
    <w:next w:val="954"/>
    <w:link w:val="951"/>
    <w:uiPriority w:val="99"/>
    <w:semiHidden/>
    <w:unhideWhenUsed/>
  </w:style>
  <w:style w:type="numbering" w:styleId="1012">
    <w:name w:val="Нет списка3"/>
    <w:next w:val="954"/>
    <w:link w:val="951"/>
    <w:semiHidden/>
  </w:style>
  <w:style w:type="paragraph" w:styleId="1013">
    <w:name w:val="Обычный2"/>
    <w:next w:val="1013"/>
    <w:link w:val="951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1014">
    <w:name w:val="Сетка таблицы2"/>
    <w:basedOn w:val="953"/>
    <w:next w:val="958"/>
    <w:link w:val="951"/>
    <w:tblPr/>
  </w:style>
  <w:style w:type="character" w:styleId="1015">
    <w:name w:val="ConsPlusNormal Знак"/>
    <w:next w:val="1015"/>
    <w:link w:val="968"/>
    <w:rPr>
      <w:rFonts w:ascii="Arial" w:hAnsi="Arial" w:cs="Arial"/>
    </w:rPr>
  </w:style>
  <w:style w:type="character" w:styleId="1016">
    <w:name w:val="Гиперссылка"/>
    <w:next w:val="1016"/>
    <w:link w:val="951"/>
    <w:uiPriority w:val="99"/>
    <w:unhideWhenUsed/>
    <w:rPr>
      <w:color w:val="0563c1"/>
      <w:u w:val="single"/>
    </w:rPr>
  </w:style>
  <w:style w:type="character" w:styleId="1017">
    <w:name w:val="Просмотренная гиперссылка"/>
    <w:next w:val="1017"/>
    <w:link w:val="951"/>
    <w:uiPriority w:val="99"/>
    <w:unhideWhenUsed/>
    <w:rPr>
      <w:color w:val="954f72"/>
      <w:u w:val="single"/>
    </w:rPr>
  </w:style>
  <w:style w:type="paragraph" w:styleId="1018">
    <w:name w:val="msonormal"/>
    <w:basedOn w:val="951"/>
    <w:next w:val="1018"/>
    <w:link w:val="951"/>
    <w:pPr>
      <w:spacing w:before="100" w:beforeAutospacing="1" w:after="100" w:afterAutospacing="1"/>
    </w:pPr>
    <w:rPr>
      <w:sz w:val="24"/>
      <w:szCs w:val="24"/>
    </w:rPr>
  </w:style>
  <w:style w:type="paragraph" w:styleId="1019">
    <w:name w:val="font5"/>
    <w:basedOn w:val="951"/>
    <w:next w:val="1019"/>
    <w:link w:val="951"/>
    <w:pPr>
      <w:spacing w:before="100" w:beforeAutospacing="1" w:after="100" w:afterAutospacing="1"/>
    </w:pPr>
    <w:rPr>
      <w:b/>
      <w:bCs/>
      <w:sz w:val="24"/>
      <w:szCs w:val="24"/>
    </w:rPr>
  </w:style>
  <w:style w:type="paragraph" w:styleId="1020">
    <w:name w:val="xl66"/>
    <w:basedOn w:val="951"/>
    <w:next w:val="1020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1">
    <w:name w:val="xl67"/>
    <w:basedOn w:val="951"/>
    <w:next w:val="1021"/>
    <w:link w:val="95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22">
    <w:name w:val="xl68"/>
    <w:basedOn w:val="951"/>
    <w:next w:val="1022"/>
    <w:link w:val="951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23">
    <w:name w:val="xl69"/>
    <w:basedOn w:val="951"/>
    <w:next w:val="1023"/>
    <w:link w:val="951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4">
    <w:name w:val="xl70"/>
    <w:basedOn w:val="951"/>
    <w:next w:val="1024"/>
    <w:link w:val="951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5">
    <w:name w:val="xl71"/>
    <w:basedOn w:val="951"/>
    <w:next w:val="1025"/>
    <w:link w:val="95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6">
    <w:name w:val="xl72"/>
    <w:basedOn w:val="951"/>
    <w:next w:val="1026"/>
    <w:link w:val="951"/>
    <w:pPr>
      <w:jc w:val="right"/>
      <w:spacing w:before="100" w:beforeAutospacing="1" w:after="100" w:afterAutospacing="1"/>
    </w:pPr>
    <w:rPr>
      <w:b/>
      <w:bCs/>
      <w:sz w:val="24"/>
      <w:szCs w:val="24"/>
    </w:rPr>
  </w:style>
  <w:style w:type="paragraph" w:styleId="1027">
    <w:name w:val="xl73"/>
    <w:basedOn w:val="951"/>
    <w:next w:val="1027"/>
    <w:link w:val="951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8">
    <w:name w:val="xl74"/>
    <w:basedOn w:val="951"/>
    <w:next w:val="1028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9">
    <w:name w:val="xl75"/>
    <w:basedOn w:val="951"/>
    <w:next w:val="1029"/>
    <w:link w:val="95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0">
    <w:name w:val="xl76"/>
    <w:basedOn w:val="951"/>
    <w:next w:val="1030"/>
    <w:link w:val="951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1">
    <w:name w:val="xl77"/>
    <w:basedOn w:val="951"/>
    <w:next w:val="1031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32">
    <w:name w:val="xl78"/>
    <w:basedOn w:val="951"/>
    <w:next w:val="1032"/>
    <w:link w:val="951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33">
    <w:name w:val="xl79"/>
    <w:basedOn w:val="951"/>
    <w:next w:val="1033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34">
    <w:name w:val="xl80"/>
    <w:basedOn w:val="951"/>
    <w:next w:val="1034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35">
    <w:name w:val="xl81"/>
    <w:basedOn w:val="951"/>
    <w:next w:val="1035"/>
    <w:link w:val="951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36">
    <w:name w:val="xl82"/>
    <w:basedOn w:val="951"/>
    <w:next w:val="1036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37">
    <w:name w:val="xl83"/>
    <w:basedOn w:val="951"/>
    <w:next w:val="1037"/>
    <w:link w:val="951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38">
    <w:name w:val="xl84"/>
    <w:basedOn w:val="951"/>
    <w:next w:val="1038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39">
    <w:name w:val="xl85"/>
    <w:basedOn w:val="951"/>
    <w:next w:val="1039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0">
    <w:name w:val="xl86"/>
    <w:basedOn w:val="951"/>
    <w:next w:val="1040"/>
    <w:link w:val="951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1">
    <w:name w:val="xl87"/>
    <w:basedOn w:val="951"/>
    <w:next w:val="1041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42">
    <w:name w:val="xl88"/>
    <w:basedOn w:val="951"/>
    <w:next w:val="1042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3">
    <w:name w:val="xl89"/>
    <w:basedOn w:val="951"/>
    <w:next w:val="1043"/>
    <w:link w:val="95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4">
    <w:name w:val="xl90"/>
    <w:basedOn w:val="951"/>
    <w:next w:val="1044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5">
    <w:name w:val="xl91"/>
    <w:basedOn w:val="951"/>
    <w:next w:val="1045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6">
    <w:name w:val="xl92"/>
    <w:basedOn w:val="951"/>
    <w:next w:val="1046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7">
    <w:name w:val="xl93"/>
    <w:basedOn w:val="951"/>
    <w:next w:val="1047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8">
    <w:name w:val="xl94"/>
    <w:basedOn w:val="951"/>
    <w:next w:val="1048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9">
    <w:name w:val="xl95"/>
    <w:basedOn w:val="951"/>
    <w:next w:val="1049"/>
    <w:link w:val="95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0">
    <w:name w:val="xl96"/>
    <w:basedOn w:val="951"/>
    <w:next w:val="1050"/>
    <w:link w:val="951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51">
    <w:name w:val="xl97"/>
    <w:basedOn w:val="951"/>
    <w:next w:val="1051"/>
    <w:link w:val="951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2">
    <w:name w:val="xl98"/>
    <w:basedOn w:val="951"/>
    <w:next w:val="1052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3">
    <w:name w:val="xl99"/>
    <w:basedOn w:val="951"/>
    <w:next w:val="1053"/>
    <w:link w:val="951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4">
    <w:name w:val="xl100"/>
    <w:basedOn w:val="951"/>
    <w:next w:val="1054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5">
    <w:name w:val="xl101"/>
    <w:basedOn w:val="951"/>
    <w:next w:val="1055"/>
    <w:link w:val="951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6">
    <w:name w:val="xl102"/>
    <w:basedOn w:val="951"/>
    <w:next w:val="1056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7">
    <w:name w:val="xl103"/>
    <w:basedOn w:val="951"/>
    <w:next w:val="1057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8">
    <w:name w:val="xl104"/>
    <w:basedOn w:val="951"/>
    <w:next w:val="1058"/>
    <w:link w:val="951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59">
    <w:name w:val="xl105"/>
    <w:basedOn w:val="951"/>
    <w:next w:val="1059"/>
    <w:link w:val="951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0">
    <w:name w:val="xl106"/>
    <w:basedOn w:val="951"/>
    <w:next w:val="1060"/>
    <w:link w:val="951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1">
    <w:name w:val="xl107"/>
    <w:basedOn w:val="951"/>
    <w:next w:val="1061"/>
    <w:link w:val="951"/>
    <w:pPr>
      <w:jc w:val="center"/>
      <w:spacing w:before="100" w:beforeAutospacing="1" w:after="100" w:afterAutospacing="1"/>
      <w:pBdr>
        <w:left w:val="single" w:color="000000" w:sz="4" w:space="0"/>
      </w:pBdr>
    </w:pPr>
    <w:rPr>
      <w:b/>
      <w:bCs/>
      <w:sz w:val="24"/>
      <w:szCs w:val="24"/>
    </w:rPr>
  </w:style>
  <w:style w:type="paragraph" w:styleId="1062">
    <w:name w:val="xl108"/>
    <w:basedOn w:val="951"/>
    <w:next w:val="1062"/>
    <w:link w:val="951"/>
    <w:pPr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4"/>
      <w:szCs w:val="24"/>
    </w:rPr>
  </w:style>
  <w:style w:type="paragraph" w:styleId="1063">
    <w:name w:val="xl109"/>
    <w:basedOn w:val="951"/>
    <w:next w:val="1063"/>
    <w:link w:val="951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4">
    <w:name w:val="xl110"/>
    <w:basedOn w:val="951"/>
    <w:next w:val="1064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5">
    <w:name w:val="xl111"/>
    <w:basedOn w:val="951"/>
    <w:next w:val="1065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4"/>
      <w:szCs w:val="24"/>
    </w:rPr>
  </w:style>
  <w:style w:type="paragraph" w:styleId="1066">
    <w:name w:val="xl112"/>
    <w:basedOn w:val="951"/>
    <w:next w:val="1066"/>
    <w:link w:val="951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7">
    <w:name w:val="xl113"/>
    <w:basedOn w:val="951"/>
    <w:next w:val="1067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8">
    <w:name w:val="xl114"/>
    <w:basedOn w:val="951"/>
    <w:next w:val="1068"/>
    <w:link w:val="951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9">
    <w:name w:val="xl115"/>
    <w:basedOn w:val="951"/>
    <w:next w:val="1069"/>
    <w:link w:val="951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70">
    <w:name w:val="xl116"/>
    <w:basedOn w:val="951"/>
    <w:next w:val="1070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71">
    <w:name w:val="xl117"/>
    <w:basedOn w:val="951"/>
    <w:next w:val="1071"/>
    <w:link w:val="951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1072">
    <w:name w:val="xl118"/>
    <w:basedOn w:val="951"/>
    <w:next w:val="1072"/>
    <w:link w:val="951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73">
    <w:name w:val="xl119"/>
    <w:basedOn w:val="951"/>
    <w:next w:val="1073"/>
    <w:link w:val="951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1074">
    <w:name w:val="xl120"/>
    <w:basedOn w:val="951"/>
    <w:next w:val="1074"/>
    <w:link w:val="95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75">
    <w:name w:val="xl121"/>
    <w:basedOn w:val="951"/>
    <w:next w:val="1075"/>
    <w:link w:val="95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76">
    <w:name w:val="xl122"/>
    <w:basedOn w:val="951"/>
    <w:next w:val="1076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77">
    <w:name w:val="xl123"/>
    <w:basedOn w:val="951"/>
    <w:next w:val="1077"/>
    <w:link w:val="951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78">
    <w:name w:val="xl124"/>
    <w:basedOn w:val="951"/>
    <w:next w:val="1078"/>
    <w:link w:val="951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79">
    <w:name w:val="xl125"/>
    <w:basedOn w:val="951"/>
    <w:next w:val="1079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80">
    <w:name w:val="xl126"/>
    <w:basedOn w:val="951"/>
    <w:next w:val="1080"/>
    <w:link w:val="951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81">
    <w:name w:val="xl127"/>
    <w:basedOn w:val="951"/>
    <w:next w:val="1081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82">
    <w:name w:val="xl128"/>
    <w:basedOn w:val="951"/>
    <w:next w:val="1082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83">
    <w:name w:val="xl129"/>
    <w:basedOn w:val="951"/>
    <w:next w:val="1083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84">
    <w:name w:val="xl130"/>
    <w:basedOn w:val="951"/>
    <w:next w:val="1084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85">
    <w:name w:val="xl131"/>
    <w:basedOn w:val="951"/>
    <w:next w:val="1085"/>
    <w:link w:val="951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86">
    <w:name w:val="xl132"/>
    <w:basedOn w:val="951"/>
    <w:next w:val="1086"/>
    <w:link w:val="951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87">
    <w:name w:val="xl133"/>
    <w:basedOn w:val="951"/>
    <w:next w:val="1087"/>
    <w:link w:val="95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88">
    <w:name w:val="xl134"/>
    <w:basedOn w:val="951"/>
    <w:next w:val="1088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89">
    <w:name w:val="xl135"/>
    <w:basedOn w:val="951"/>
    <w:next w:val="1089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90">
    <w:name w:val="xl136"/>
    <w:basedOn w:val="951"/>
    <w:next w:val="1090"/>
    <w:link w:val="951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91">
    <w:name w:val="xl137"/>
    <w:basedOn w:val="951"/>
    <w:next w:val="1091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92">
    <w:name w:val="xl138"/>
    <w:basedOn w:val="951"/>
    <w:next w:val="1092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93">
    <w:name w:val="xl139"/>
    <w:basedOn w:val="951"/>
    <w:next w:val="1093"/>
    <w:link w:val="95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94">
    <w:name w:val="xl140"/>
    <w:basedOn w:val="951"/>
    <w:next w:val="1094"/>
    <w:link w:val="951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95">
    <w:name w:val="xl141"/>
    <w:basedOn w:val="951"/>
    <w:next w:val="1095"/>
    <w:link w:val="95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4"/>
      <w:szCs w:val="24"/>
    </w:rPr>
  </w:style>
  <w:style w:type="paragraph" w:styleId="1096">
    <w:name w:val="xl142"/>
    <w:basedOn w:val="951"/>
    <w:next w:val="1096"/>
    <w:link w:val="951"/>
    <w:pPr>
      <w:jc w:val="right"/>
      <w:spacing w:before="100" w:beforeAutospacing="1" w:after="100" w:afterAutospacing="1"/>
    </w:pPr>
    <w:rPr>
      <w:sz w:val="24"/>
      <w:szCs w:val="24"/>
    </w:rPr>
  </w:style>
  <w:style w:type="paragraph" w:styleId="1097">
    <w:name w:val="xl143"/>
    <w:basedOn w:val="951"/>
    <w:next w:val="1097"/>
    <w:link w:val="951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98">
    <w:name w:val="xl144"/>
    <w:basedOn w:val="951"/>
    <w:next w:val="1098"/>
    <w:link w:val="951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99">
    <w:name w:val="xl145"/>
    <w:basedOn w:val="951"/>
    <w:next w:val="1099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100">
    <w:name w:val="xl146"/>
    <w:basedOn w:val="951"/>
    <w:next w:val="1100"/>
    <w:link w:val="951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101">
    <w:name w:val="xl147"/>
    <w:basedOn w:val="951"/>
    <w:next w:val="1101"/>
    <w:link w:val="951"/>
    <w:pPr>
      <w:jc w:val="right"/>
      <w:spacing w:before="100" w:beforeAutospacing="1" w:after="100" w:afterAutospacing="1"/>
      <w:shd w:val="clear" w:color="000000" w:fill="ffffff"/>
    </w:pPr>
    <w:rPr>
      <w:rFonts w:ascii="Arial" w:hAnsi="Arial" w:cs="Arial"/>
      <w:sz w:val="24"/>
      <w:szCs w:val="24"/>
    </w:rPr>
  </w:style>
  <w:style w:type="paragraph" w:styleId="1102">
    <w:name w:val="xl148"/>
    <w:basedOn w:val="951"/>
    <w:next w:val="1102"/>
    <w:link w:val="951"/>
    <w:pPr>
      <w:jc w:val="right"/>
      <w:spacing w:before="100" w:beforeAutospacing="1" w:after="100" w:afterAutospacing="1"/>
      <w:shd w:val="clear" w:color="000000" w:fill="ffffff"/>
    </w:pPr>
    <w:rPr>
      <w:sz w:val="24"/>
      <w:szCs w:val="24"/>
    </w:rPr>
  </w:style>
  <w:style w:type="paragraph" w:styleId="1103">
    <w:name w:val="xl65"/>
    <w:basedOn w:val="951"/>
    <w:next w:val="1103"/>
    <w:link w:val="95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18"/>
      <w:szCs w:val="18"/>
    </w:rPr>
  </w:style>
  <w:style w:type="character" w:styleId="1104" w:default="1">
    <w:name w:val="Default Paragraph Font"/>
    <w:uiPriority w:val="1"/>
    <w:semiHidden/>
    <w:unhideWhenUsed/>
  </w:style>
  <w:style w:type="numbering" w:styleId="1105" w:default="1">
    <w:name w:val="No List"/>
    <w:uiPriority w:val="99"/>
    <w:semiHidden/>
    <w:unhideWhenUsed/>
  </w:style>
  <w:style w:type="table" w:styleId="1106" w:default="1">
    <w:name w:val="Normal Table"/>
    <w:uiPriority w:val="99"/>
    <w:semiHidden/>
    <w:unhideWhenUsed/>
    <w:tblPr/>
  </w:style>
  <w:style w:type="paragraph" w:styleId="1107" w:customStyle="1">
    <w:name w:val="docdata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08" w:customStyle="1">
    <w:name w:val="Обычный (веб)1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lastModifiedBy>kibal_gv@mfnso.local</cp:lastModifiedBy>
  <cp:revision>45</cp:revision>
  <dcterms:created xsi:type="dcterms:W3CDTF">2022-02-08T09:52:00Z</dcterms:created>
  <dcterms:modified xsi:type="dcterms:W3CDTF">2026-03-20T09:17:27Z</dcterms:modified>
  <cp:version>1048576</cp:version>
</cp:coreProperties>
</file>